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F6A0C8B">
      <w:pPr>
        <w:pStyle w:val="style0"/>
        <w:spacing w:after="0" w:lineRule="auto" w:line="240"/>
        <w:jc w:val="left"/>
        <w:rPr/>
      </w:pPr>
    </w:p>
    <w:p w14:paraId="1F35F9F8">
      <w:pPr>
        <w:pStyle w:val="style0"/>
        <w:spacing w:after="300"/>
        <w:rPr/>
      </w:pPr>
    </w:p>
    <w:p w14:paraId="0F58B49A">
      <w:pPr>
        <w:pStyle w:val="style0"/>
        <w:spacing w:after="400" w:lineRule="auto" w:line="240"/>
        <w:jc w:val="center"/>
        <w:rPr/>
      </w:pPr>
      <w:r>
        <w:rPr>
          <w:rFonts w:ascii="Times New Roman" w:cs="Times New Roman" w:eastAsia="Times New Roman" w:hAnsi="Times New Roman"/>
          <w:b/>
          <w:bCs/>
          <w:sz w:val="28"/>
          <w:szCs w:val="28"/>
        </w:rPr>
        <w:t>RETROFITTING AS A PATHWAY TO REDUCE ENERGY CONSUMPTION IN NIGERIA'S HOSPITALITY INDUSTRY</w:t>
      </w:r>
    </w:p>
    <w:p w14:paraId="1000E758">
      <w:pPr>
        <w:pStyle w:val="style0"/>
        <w:spacing w:after="120" w:lineRule="auto" w:line="240"/>
        <w:jc w:val="center"/>
        <w:rPr/>
      </w:pPr>
      <w:r>
        <w:rPr>
          <w:rFonts w:ascii="Times New Roman" w:cs="Times New Roman" w:eastAsia="宋体" w:hAnsi="Times New Roman" w:hint="default"/>
          <w:b/>
          <w:bCs/>
          <w:i w:val="false"/>
          <w:iCs w:val="false"/>
          <w:color w:val="auto"/>
          <w:sz w:val="21"/>
          <w:szCs w:val="20"/>
          <w:highlight w:val="none"/>
          <w:vertAlign w:val="baseline"/>
          <w:em w:val="none"/>
          <w:lang w:val="en-US"/>
        </w:rPr>
        <w:t>Umar</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Abdulazeez</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Saidu</w:t>
      </w:r>
    </w:p>
    <w:p w14:paraId="36D30F4E">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Architectural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Technology,</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p>
    <w:p w14:paraId="8E39722C">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Federal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Polytechnic</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Ukana,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Akwa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Ibom</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State.</w:t>
      </w:r>
    </w:p>
    <w:p w14:paraId="5428A3DC">
      <w:pPr>
        <w:pStyle w:val="style0"/>
        <w:spacing w:after="120" w:lineRule="auto" w:line="240"/>
        <w:jc w:val="center"/>
        <w:rPr/>
      </w:pPr>
    </w:p>
    <w:p w14:paraId="1EE7F77E">
      <w:pPr>
        <w:pStyle w:val="style0"/>
        <w:spacing w:after="120" w:lineRule="auto" w:line="240"/>
        <w:jc w:val="center"/>
        <w:rPr/>
      </w:pPr>
      <w:r>
        <w:rPr>
          <w:rFonts w:ascii="Times New Roman" w:cs="Times New Roman" w:eastAsia="宋体" w:hAnsi="Times New Roman" w:hint="default"/>
          <w:b/>
          <w:bCs/>
          <w:i w:val="false"/>
          <w:iCs w:val="false"/>
          <w:color w:val="auto"/>
          <w:sz w:val="21"/>
          <w:szCs w:val="20"/>
          <w:highlight w:val="none"/>
          <w:vertAlign w:val="baseline"/>
          <w:em w:val="none"/>
          <w:lang w:val="en-US"/>
        </w:rPr>
        <w:t>Hannah</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Yetunde</w:t>
      </w:r>
      <w:r>
        <w:rPr>
          <w:rFonts w:ascii="Times New Roman" w:cs="Times New Roman" w:eastAsia="宋体" w:hAnsi="Times New Roman" w:hint="default"/>
          <w:b/>
          <w:bCs/>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bCs/>
          <w:i w:val="false"/>
          <w:iCs w:val="false"/>
          <w:color w:val="auto"/>
          <w:sz w:val="21"/>
          <w:szCs w:val="20"/>
          <w:highlight w:val="none"/>
          <w:vertAlign w:val="baseline"/>
          <w:em w:val="none"/>
          <w:lang w:val="en-US"/>
        </w:rPr>
        <w:t>Obamoh</w:t>
      </w:r>
    </w:p>
    <w:p w14:paraId="EA772CF2">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Architectural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Technology,</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p>
    <w:p w14:paraId="FD045CEE">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Federal</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Polytechnic</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Ukana,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Akwa</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Ibom</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State.</w:t>
      </w:r>
    </w:p>
    <w:p w14:paraId="C505411B">
      <w:pPr>
        <w:pStyle w:val="style0"/>
        <w:spacing w:after="120" w:lineRule="auto" w:line="240"/>
        <w:jc w:val="center"/>
        <w:rPr>
          <w:rFonts w:ascii="Times New Roman" w:cs="Times New Roman" w:eastAsia="宋体" w:hAnsi="Times New Roman" w:hint="default"/>
          <w:b/>
          <w:i w:val="false"/>
          <w:color w:val="auto"/>
          <w:sz w:val="21"/>
          <w:szCs w:val="20"/>
          <w:highlight w:val="none"/>
          <w:vertAlign w:val="baseline"/>
          <w:em w:val="none"/>
          <w:lang w:val="en-US"/>
        </w:rPr>
      </w:pPr>
    </w:p>
    <w:p w14:paraId="10BAC817">
      <w:pPr>
        <w:pStyle w:val="style0"/>
        <w:spacing w:after="120" w:lineRule="auto" w:line="240"/>
        <w:jc w:val="center"/>
        <w:rPr>
          <w:b/>
          <w:bCs/>
        </w:rPr>
      </w:pPr>
      <w:r>
        <w:rPr>
          <w:b/>
          <w:bCs/>
          <w:lang w:val="en-US"/>
        </w:rPr>
        <w:t>Etim Kereidem Boniface</w:t>
      </w:r>
    </w:p>
    <w:p w14:paraId="ECD7B971">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Department</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of</w:t>
      </w: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 xml:space="preserve"> Architectural Technology, </w:t>
      </w:r>
    </w:p>
    <w:p w14:paraId="B7F00A09">
      <w:pPr>
        <w:pStyle w:val="style0"/>
        <w:spacing w:after="120" w:lineRule="auto" w:line="240"/>
        <w:jc w:val="center"/>
        <w:rPr/>
      </w:pPr>
      <w:r>
        <w:rPr>
          <w:rFonts w:ascii="Times New Roman" w:cs="Times New Roman" w:eastAsia="宋体" w:hAnsi="Times New Roman" w:hint="default"/>
          <w:b w:val="false"/>
          <w:bCs w:val="false"/>
          <w:i w:val="false"/>
          <w:iCs w:val="false"/>
          <w:color w:val="auto"/>
          <w:sz w:val="21"/>
          <w:szCs w:val="20"/>
          <w:highlight w:val="none"/>
          <w:vertAlign w:val="baseline"/>
          <w:em w:val="none"/>
          <w:lang w:val="en-US"/>
        </w:rPr>
        <w:t>Federal Polytechnic Ukana, Akwa Ibom State.</w:t>
      </w:r>
    </w:p>
    <w:p w14:paraId="0A577181">
      <w:pPr>
        <w:pStyle w:val="style0"/>
        <w:spacing w:after="300" w:lineRule="auto" w:line="480"/>
        <w:jc w:val="center"/>
        <w:rPr/>
      </w:pPr>
      <w:r>
        <w:rPr>
          <w:b/>
          <w:bCs/>
          <w:lang w:val="en-US"/>
        </w:rPr>
        <w:t>Corresponding Author:</w:t>
      </w:r>
      <w:r>
        <w:rPr>
          <w:lang w:val="en-US"/>
        </w:rPr>
        <w:t xml:space="preserve"> saidu.umar@fedpolyukana.edu.ng </w:t>
      </w:r>
    </w:p>
    <w:p w14:paraId="2EDF3462">
      <w:pPr>
        <w:pStyle w:val="style0"/>
        <w:spacing w:after="120" w:lineRule="auto" w:line="480"/>
        <w:jc w:val="left"/>
        <w:rPr/>
      </w:pPr>
      <w:r>
        <w:rPr>
          <w:rFonts w:ascii="Times New Roman" w:cs="Times New Roman" w:eastAsia="Times New Roman" w:hAnsi="Times New Roman"/>
          <w:b/>
          <w:bCs/>
          <w:sz w:val="24"/>
          <w:szCs w:val="24"/>
        </w:rPr>
        <w:t>ABSTRACT</w:t>
      </w:r>
    </w:p>
    <w:p w14:paraId="135A3D4C">
      <w:pPr>
        <w:pStyle w:val="style0"/>
        <w:spacing w:after="120" w:lineRule="auto" w:line="360"/>
        <w:jc w:val="both"/>
        <w:rPr>
          <w:i/>
          <w:iCs/>
        </w:rPr>
      </w:pPr>
      <w:r>
        <w:rPr>
          <w:rFonts w:ascii="Times New Roman" w:cs="Times New Roman" w:eastAsia="Times New Roman" w:hAnsi="Times New Roman"/>
          <w:i/>
          <w:iCs/>
          <w:sz w:val="24"/>
          <w:szCs w:val="24"/>
        </w:rPr>
        <w:t xml:space="preserve">Nigeria's hospitality industry faces mounting pressure from high energy demand, unreliable grid supply, rising electricity tariffs and heavy dependence on diesel generators. Hotels require uninterrupted power for cooling, lighting, water heating, kitchens, refrigeration and laundry, yet most existing facilities were neither designed nor operated with strong energy-efficiency considerations, resulting in high operating costs and weak competitiveness. </w:t>
      </w:r>
    </w:p>
    <w:p w14:paraId="EEE85AEF">
      <w:pPr>
        <w:pStyle w:val="style0"/>
        <w:spacing w:after="120" w:lineRule="auto" w:line="360"/>
        <w:jc w:val="both"/>
        <w:rPr>
          <w:i/>
          <w:iCs/>
        </w:rPr>
      </w:pPr>
      <w:r>
        <w:rPr>
          <w:rFonts w:ascii="Times New Roman" w:cs="Times New Roman" w:eastAsia="Times New Roman" w:hAnsi="Times New Roman"/>
          <w:i/>
          <w:iCs/>
          <w:sz w:val="24"/>
          <w:szCs w:val="24"/>
        </w:rPr>
        <w:t>The study adopted a qualitative desk</w:t>
      </w:r>
      <w:r>
        <w:rPr>
          <w:rFonts w:ascii="Times New Roman" w:cs="Times New Roman" w:eastAsia="Times New Roman" w:hAnsi="Times New Roman"/>
          <w:i/>
          <w:iCs/>
          <w:sz w:val="24"/>
          <w:szCs w:val="24"/>
          <w:lang w:val="en-US"/>
        </w:rPr>
        <w:t xml:space="preserve"> r</w:t>
      </w:r>
      <w:r>
        <w:rPr>
          <w:rFonts w:ascii="Times New Roman" w:cs="Times New Roman" w:eastAsia="Times New Roman" w:hAnsi="Times New Roman"/>
          <w:i/>
          <w:iCs/>
          <w:sz w:val="24"/>
          <w:szCs w:val="24"/>
        </w:rPr>
        <w:t>eview design supported by comparative synthesis of recent peer</w:t>
      </w:r>
      <w:r>
        <w:rPr>
          <w:rFonts w:ascii="Times New Roman" w:cs="Times New Roman" w:eastAsia="Times New Roman" w:hAnsi="Times New Roman"/>
          <w:i/>
          <w:iCs/>
          <w:sz w:val="24"/>
          <w:szCs w:val="24"/>
          <w:lang w:val="en-US"/>
        </w:rPr>
        <w:t xml:space="preserve"> r</w:t>
      </w:r>
      <w:r>
        <w:rPr>
          <w:rFonts w:ascii="Times New Roman" w:cs="Times New Roman" w:eastAsia="Times New Roman" w:hAnsi="Times New Roman"/>
          <w:i/>
          <w:iCs/>
          <w:sz w:val="24"/>
          <w:szCs w:val="24"/>
        </w:rPr>
        <w:t xml:space="preserve">eviewed literature, global energy reports, Nigerian electricity data and documented retrofit performance ranges. Reviewed materials were analysed using qualitative content analysis, grouped into themes covering energy-use profile, retrofit technologies, saving potential, barriers, financing and policy implications. </w:t>
      </w:r>
    </w:p>
    <w:p w14:paraId="7FE6C297">
      <w:pPr>
        <w:pStyle w:val="style0"/>
        <w:spacing w:after="120" w:lineRule="auto" w:line="360"/>
        <w:jc w:val="both"/>
        <w:rPr>
          <w:i/>
          <w:iCs/>
        </w:rPr>
      </w:pPr>
      <w:r>
        <w:rPr>
          <w:rFonts w:ascii="Times New Roman" w:cs="Times New Roman" w:eastAsia="Times New Roman" w:hAnsi="Times New Roman"/>
          <w:i/>
          <w:iCs/>
          <w:sz w:val="24"/>
          <w:szCs w:val="24"/>
        </w:rPr>
        <w:t xml:space="preserve">Staged retrofit packages combining LED lighting, occupancy controls, HVAC optimisation, building-envelope improvement, smart energy management and solar photovoltaic integration can reduce total hotel energy demand by about 20-45 percent, depending on building condition, occupancy level and implementation quality. Key barriers include high upfront cost, limited technical expertise, weak enforcement of energy standards and inadequate green finance. </w:t>
      </w:r>
    </w:p>
    <w:p w14:paraId="37390D12">
      <w:pPr>
        <w:pStyle w:val="style0"/>
        <w:spacing w:after="200" w:lineRule="auto" w:line="360"/>
        <w:jc w:val="both"/>
        <w:rPr>
          <w:i/>
          <w:iCs/>
        </w:rPr>
      </w:pPr>
      <w:r>
        <w:rPr>
          <w:rFonts w:ascii="Times New Roman" w:cs="Times New Roman" w:eastAsia="Times New Roman" w:hAnsi="Times New Roman"/>
          <w:i/>
          <w:iCs/>
          <w:sz w:val="24"/>
          <w:szCs w:val="24"/>
        </w:rPr>
        <w:t>Retrofitting is a practical and financeable pathway to reducing energy consumption in Nigerian hotels. The study recommends mandatory energy audits for medium and large hotels, phased retrofit planning, energy performance contracting, capacity development for facility managers and targeted policy incentives for energy-efficient hospitality buildings.</w:t>
      </w:r>
    </w:p>
    <w:p w14:paraId="D376089A">
      <w:pPr>
        <w:pStyle w:val="style0"/>
        <w:spacing w:after="300" w:lineRule="auto" w:line="360"/>
        <w:jc w:val="both"/>
        <w:rPr/>
      </w:pPr>
      <w:r>
        <w:rPr>
          <w:rFonts w:ascii="Times New Roman" w:cs="Times New Roman" w:eastAsia="Times New Roman" w:hAnsi="Times New Roman"/>
          <w:b/>
          <w:bCs/>
          <w:i/>
          <w:iCs/>
          <w:sz w:val="24"/>
          <w:szCs w:val="24"/>
        </w:rPr>
        <w:t xml:space="preserve">Keywords: </w:t>
      </w:r>
      <w:r>
        <w:rPr>
          <w:rFonts w:ascii="Times New Roman" w:cs="Times New Roman" w:eastAsia="Times New Roman" w:hAnsi="Times New Roman"/>
          <w:i/>
          <w:iCs/>
          <w:sz w:val="24"/>
          <w:szCs w:val="24"/>
        </w:rPr>
        <w:t>Retrofitting</w:t>
      </w:r>
      <w:r>
        <w:rPr>
          <w:rFonts w:ascii="Times New Roman" w:cs="Times New Roman" w:eastAsia="Times New Roman" w:hAnsi="Times New Roman"/>
          <w:i/>
          <w:iCs/>
          <w:sz w:val="24"/>
          <w:szCs w:val="24"/>
          <w:lang w:val="en-US"/>
        </w:rPr>
        <w:t>,</w:t>
      </w:r>
      <w:r>
        <w:rPr>
          <w:rFonts w:ascii="Times New Roman" w:cs="Times New Roman" w:eastAsia="Times New Roman" w:hAnsi="Times New Roman"/>
          <w:i/>
          <w:iCs/>
          <w:sz w:val="24"/>
          <w:szCs w:val="24"/>
        </w:rPr>
        <w:t xml:space="preserve"> Energy efficiency</w:t>
      </w:r>
      <w:r>
        <w:rPr>
          <w:rFonts w:ascii="Times New Roman" w:cs="Times New Roman" w:eastAsia="Times New Roman" w:hAnsi="Times New Roman"/>
          <w:i/>
          <w:iCs/>
          <w:sz w:val="24"/>
          <w:szCs w:val="24"/>
          <w:lang w:val="en-US"/>
        </w:rPr>
        <w:t>,</w:t>
      </w:r>
      <w:r>
        <w:rPr>
          <w:rFonts w:ascii="Times New Roman" w:cs="Times New Roman" w:eastAsia="Times New Roman" w:hAnsi="Times New Roman"/>
          <w:i/>
          <w:iCs/>
          <w:sz w:val="24"/>
          <w:szCs w:val="24"/>
        </w:rPr>
        <w:t xml:space="preserve"> Hospitality industry</w:t>
      </w:r>
      <w:r>
        <w:rPr>
          <w:rFonts w:ascii="Times New Roman" w:cs="Times New Roman" w:eastAsia="Times New Roman" w:hAnsi="Times New Roman"/>
          <w:i/>
          <w:iCs/>
          <w:sz w:val="24"/>
          <w:szCs w:val="24"/>
          <w:lang w:val="en-US"/>
        </w:rPr>
        <w:t>,</w:t>
      </w:r>
      <w:r>
        <w:rPr>
          <w:rFonts w:ascii="Times New Roman" w:cs="Times New Roman" w:eastAsia="Times New Roman" w:hAnsi="Times New Roman"/>
          <w:i/>
          <w:iCs/>
          <w:sz w:val="24"/>
          <w:szCs w:val="24"/>
        </w:rPr>
        <w:t xml:space="preserve"> HVAC systems</w:t>
      </w:r>
      <w:r>
        <w:rPr>
          <w:rFonts w:ascii="Times New Roman" w:cs="Times New Roman" w:eastAsia="Times New Roman" w:hAnsi="Times New Roman"/>
          <w:i/>
          <w:iCs/>
          <w:sz w:val="24"/>
          <w:szCs w:val="24"/>
          <w:lang w:val="en-US"/>
        </w:rPr>
        <w:t>,</w:t>
      </w:r>
      <w:r>
        <w:rPr>
          <w:rFonts w:ascii="Times New Roman" w:cs="Times New Roman" w:eastAsia="Times New Roman" w:hAnsi="Times New Roman"/>
          <w:i/>
          <w:iCs/>
          <w:sz w:val="24"/>
          <w:szCs w:val="24"/>
        </w:rPr>
        <w:t xml:space="preserve"> Renewable energy</w:t>
      </w:r>
      <w:r>
        <w:rPr>
          <w:rFonts w:ascii="Times New Roman" w:cs="Times New Roman" w:eastAsia="Times New Roman" w:hAnsi="Times New Roman"/>
          <w:i/>
          <w:iCs/>
          <w:sz w:val="24"/>
          <w:szCs w:val="24"/>
          <w:lang w:val="en-US"/>
        </w:rPr>
        <w:t xml:space="preserve"> and </w:t>
      </w:r>
      <w:r>
        <w:rPr>
          <w:rFonts w:ascii="Times New Roman" w:cs="Times New Roman" w:eastAsia="Times New Roman" w:hAnsi="Times New Roman"/>
          <w:i/>
          <w:iCs/>
          <w:sz w:val="24"/>
          <w:szCs w:val="24"/>
        </w:rPr>
        <w:t>Nigeria.</w:t>
      </w:r>
    </w:p>
    <w:p w14:paraId="7440ADC2">
      <w:pPr>
        <w:pStyle w:val="style0"/>
        <w:keepNext/>
        <w:spacing w:before="240" w:after="120" w:lineRule="auto" w:line="480"/>
        <w:rPr>
          <w:rFonts w:ascii="Times New Roman" w:cs="Times New Roman" w:eastAsia="Times New Roman" w:hAnsi="Times New Roman"/>
          <w:b/>
          <w:bCs/>
          <w:color w:val="000000"/>
          <w:sz w:val="24"/>
          <w:szCs w:val="24"/>
        </w:rPr>
      </w:pPr>
    </w:p>
    <w:p w14:paraId="A0749931">
      <w:pPr>
        <w:pStyle w:val="style0"/>
        <w:keepNext/>
        <w:spacing w:before="240" w:after="120" w:lineRule="auto" w:line="480"/>
        <w:rPr/>
      </w:pPr>
      <w:r>
        <w:rPr>
          <w:rFonts w:ascii="Times New Roman" w:cs="Times New Roman" w:eastAsia="Times New Roman" w:hAnsi="Times New Roman"/>
          <w:b/>
          <w:bCs/>
          <w:color w:val="000000"/>
          <w:sz w:val="24"/>
          <w:szCs w:val="24"/>
        </w:rPr>
        <w:t>INTRODUCTION</w:t>
      </w:r>
    </w:p>
    <w:p w14:paraId="EE96E5F4">
      <w:pPr>
        <w:pStyle w:val="style0"/>
        <w:spacing w:after="120" w:lineRule="auto" w:line="480"/>
        <w:jc w:val="both"/>
        <w:rPr/>
      </w:pPr>
      <w:r>
        <w:rPr>
          <w:rFonts w:ascii="Times New Roman" w:cs="Times New Roman" w:eastAsia="Times New Roman" w:hAnsi="Times New Roman"/>
          <w:sz w:val="24"/>
          <w:szCs w:val="24"/>
        </w:rPr>
        <w:t>Energy is central to hospitality service delivery because hotels operate continuously and must provide thermal comfort, lighting, water heating, catering, laundry, refrigeration, security and entertainment services. The global buildings and construction sector remains a major energy and emissions concern, with recent status reports emphasising the need to accelerate efficiency, electrification and low-carbon building operation (UNEP &amp; GlobalABC, 2024; IEA, 2024). For hotels, the issue is more complex because guest-comfort expectations often encourage long operating hours for air-conditioning, water heating and lighting systems.</w:t>
      </w:r>
    </w:p>
    <w:p w14:paraId="B6D094DC">
      <w:pPr>
        <w:pStyle w:val="style0"/>
        <w:spacing w:after="120" w:lineRule="auto" w:line="480"/>
        <w:jc w:val="both"/>
        <w:rPr/>
      </w:pPr>
      <w:r>
        <w:rPr>
          <w:rFonts w:ascii="Times New Roman" w:cs="Times New Roman" w:eastAsia="Times New Roman" w:hAnsi="Times New Roman"/>
          <w:sz w:val="24"/>
          <w:szCs w:val="24"/>
        </w:rPr>
        <w:t>In Nigeria, the energy challenge is intensified by unstable grid electricity, high cooling demand and dependence on self-generation. National electricity statistics show persistent fluctuations in supply, while hotels must still maintain 24-hour service delivery (NBS, 2024; NERC, 2024). Consequently, many hotels rely on diesel generators as a backup or primary power source, which raises operating costs, increases carbon emissions and reduces the competitiveness of hospitality businesses.</w:t>
      </w:r>
    </w:p>
    <w:p w14:paraId="9409D15D">
      <w:pPr>
        <w:pStyle w:val="style0"/>
        <w:spacing w:after="60" w:lineRule="auto" w:line="480"/>
        <w:jc w:val="both"/>
        <w:rPr/>
      </w:pPr>
      <w:r>
        <w:rPr>
          <w:rFonts w:ascii="Times New Roman" w:cs="Times New Roman" w:eastAsia="Times New Roman" w:hAnsi="Times New Roman"/>
          <w:sz w:val="24"/>
          <w:szCs w:val="24"/>
        </w:rPr>
        <w:t>Retrofitting offers a realistic response because it focuses on improving existing hotel buildings rather than replacing them. It involves upgrading inefficient equipment, improving building fabric, introducing smart controls and integrating renewable energy systems. In a developing economy where many buildings are already in use and capital for new construction is limited, retrofit is often more practical than demolition and reconstruction.</w:t>
      </w:r>
    </w:p>
    <w:p w14:paraId="80D05C8D">
      <w:pPr>
        <w:pStyle w:val="style0"/>
        <w:keepNext/>
        <w:spacing w:before="240" w:after="120" w:lineRule="auto" w:line="480"/>
        <w:rPr/>
      </w:pPr>
      <w:r>
        <w:rPr>
          <w:rFonts w:ascii="Times New Roman" w:cs="Times New Roman" w:eastAsia="Times New Roman" w:hAnsi="Times New Roman"/>
          <w:b/>
          <w:bCs/>
          <w:color w:val="000000"/>
          <w:sz w:val="24"/>
          <w:szCs w:val="24"/>
        </w:rPr>
        <w:t>RESEARCH PROBLEM AND RESEARCH GAP</w:t>
      </w:r>
    </w:p>
    <w:p w14:paraId="17AF2385">
      <w:pPr>
        <w:pStyle w:val="style0"/>
        <w:spacing w:after="120" w:lineRule="auto" w:line="480"/>
        <w:jc w:val="both"/>
        <w:rPr/>
      </w:pPr>
      <w:r>
        <w:rPr>
          <w:rFonts w:ascii="Times New Roman" w:cs="Times New Roman" w:eastAsia="Times New Roman" w:hAnsi="Times New Roman"/>
          <w:sz w:val="24"/>
          <w:szCs w:val="24"/>
        </w:rPr>
        <w:t>Existing studies confirm that buildings and hotels can reduce energy demand through improved lighting, HVAC control, insulation, energy monitoring and renewable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energy integration (Ma et al., 2012; González et al., 2018; IEA, 2024). Nigerian studies have also shown that hotel energy consumption is affected by generator dependence, inefficient equipment and weak energy</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management practices (Oluseyi et al., 2016; Zhiri &amp; Bawa, 2024). However, three gaps remain. First, many Nigerian hospitality</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energy studies provide useful evidence on energy use but few present a consolidated retrofit pathway that hotel managers can follow from audit to monitoring. Second, much of the available retrofit evidence originates from developed economies or non</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hospitality buildings, making direct application to Nigerian hotels uncertain without contextual interpretation. Third, although recent global policy discussions emphasise building decarbonisation and energy efficiency, limited practical synthesis links these global directions to Nigeria's hotel sector, particularly regarding phased implementation, financing and measurable retrofit priorities.</w:t>
      </w:r>
    </w:p>
    <w:p w14:paraId="D98FEF92">
      <w:pPr>
        <w:pStyle w:val="style0"/>
        <w:spacing w:after="60" w:lineRule="auto" w:line="480"/>
        <w:jc w:val="both"/>
        <w:rPr/>
      </w:pPr>
      <w:r>
        <w:rPr>
          <w:rFonts w:ascii="Times New Roman" w:cs="Times New Roman" w:eastAsia="Times New Roman" w:hAnsi="Times New Roman"/>
          <w:sz w:val="24"/>
          <w:szCs w:val="24"/>
        </w:rPr>
        <w:t>This paper responds to these gaps by synthesising current evidence into a structured framework that identifies retrofit options, indicative energy</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saving ranges, adoption barriers and implementation steps for hotels in Nigeria.</w:t>
      </w:r>
    </w:p>
    <w:p w14:paraId="85523A63">
      <w:pPr>
        <w:pStyle w:val="style0"/>
        <w:keepNext/>
        <w:spacing w:before="240" w:after="120" w:lineRule="auto" w:line="480"/>
        <w:rPr/>
      </w:pPr>
      <w:r>
        <w:rPr>
          <w:rFonts w:ascii="Times New Roman" w:cs="Times New Roman" w:eastAsia="Times New Roman" w:hAnsi="Times New Roman"/>
          <w:b/>
          <w:bCs/>
          <w:color w:val="000000"/>
          <w:sz w:val="24"/>
          <w:szCs w:val="24"/>
        </w:rPr>
        <w:t>AIM AND OBJECTIVES</w:t>
      </w:r>
    </w:p>
    <w:p w14:paraId="2C0FB931">
      <w:pPr>
        <w:pStyle w:val="style0"/>
        <w:spacing w:after="6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aim of this paper is to examine retrofitting as a pathway for reducing energy consumption in Nigeria's hospitality industry. </w:t>
      </w:r>
    </w:p>
    <w:p w14:paraId="D020ED30">
      <w:pPr>
        <w:pStyle w:val="style0"/>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rPr>
        <w:t>The specific objectives are</w:t>
      </w:r>
      <w:r>
        <w:rPr>
          <w:rFonts w:ascii="Times New Roman" w:cs="Times New Roman" w:eastAsia="Times New Roman" w:hAnsi="Times New Roman"/>
          <w:sz w:val="24"/>
          <w:szCs w:val="24"/>
          <w:lang w:val="en-US"/>
        </w:rPr>
        <w:t xml:space="preserve">: </w:t>
      </w:r>
    </w:p>
    <w:p w14:paraId="817ABA55">
      <w:pPr>
        <w:pStyle w:val="style179"/>
        <w:numPr>
          <w:ilvl w:val="0"/>
          <w:numId w:val="1"/>
        </w:numPr>
        <w:spacing w:after="6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To </w:t>
      </w:r>
      <w:r>
        <w:rPr>
          <w:rFonts w:ascii="Times New Roman" w:cs="Times New Roman" w:eastAsia="Times New Roman" w:hAnsi="Times New Roman"/>
          <w:sz w:val="24"/>
          <w:szCs w:val="24"/>
        </w:rPr>
        <w:t>identify major energy</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consuming systems in hotel buildings</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w:t>
      </w:r>
    </w:p>
    <w:p w14:paraId="FF3C8018">
      <w:pPr>
        <w:pStyle w:val="style179"/>
        <w:numPr>
          <w:ilvl w:val="0"/>
          <w:numId w:val="1"/>
        </w:numPr>
        <w:spacing w:after="6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To </w:t>
      </w:r>
      <w:r>
        <w:rPr>
          <w:rFonts w:ascii="Times New Roman" w:cs="Times New Roman" w:eastAsia="Times New Roman" w:hAnsi="Times New Roman"/>
          <w:sz w:val="24"/>
          <w:szCs w:val="24"/>
        </w:rPr>
        <w:t>examine retrofit strategies suitable for Nigerian hotels</w:t>
      </w:r>
      <w:r>
        <w:rPr>
          <w:rFonts w:ascii="Times New Roman" w:cs="Times New Roman" w:eastAsia="Times New Roman" w:hAnsi="Times New Roman"/>
          <w:sz w:val="24"/>
          <w:szCs w:val="24"/>
          <w:lang w:val="en-US"/>
        </w:rPr>
        <w:t>.</w:t>
      </w:r>
      <w:r>
        <w:rPr>
          <w:rFonts w:ascii="Times New Roman" w:cs="Times New Roman" w:eastAsia="Times New Roman" w:hAnsi="Times New Roman"/>
          <w:sz w:val="24"/>
          <w:szCs w:val="24"/>
        </w:rPr>
        <w:t xml:space="preserve"> </w:t>
      </w:r>
    </w:p>
    <w:p w14:paraId="2549AF6E">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 xml:space="preserve">To </w:t>
      </w:r>
      <w:r>
        <w:rPr>
          <w:rFonts w:ascii="Times New Roman" w:cs="Times New Roman" w:eastAsia="Times New Roman" w:hAnsi="Times New Roman"/>
          <w:sz w:val="24"/>
          <w:szCs w:val="24"/>
        </w:rPr>
        <w:t>assess the energy</w:t>
      </w:r>
      <w:r>
        <w:rPr>
          <w:rFonts w:ascii="Times New Roman" w:cs="Times New Roman" w:eastAsia="Times New Roman" w:hAnsi="Times New Roman"/>
          <w:sz w:val="24"/>
          <w:szCs w:val="24"/>
          <w:lang w:val="en-US"/>
        </w:rPr>
        <w:t xml:space="preserve"> s</w:t>
      </w:r>
      <w:r>
        <w:rPr>
          <w:rFonts w:ascii="Times New Roman" w:cs="Times New Roman" w:eastAsia="Times New Roman" w:hAnsi="Times New Roman"/>
          <w:sz w:val="24"/>
          <w:szCs w:val="24"/>
        </w:rPr>
        <w:t>aving and operational benefits of retrofitting</w:t>
      </w:r>
      <w:r>
        <w:rPr>
          <w:rFonts w:ascii="Times New Roman" w:cs="Times New Roman" w:eastAsia="Times New Roman" w:hAnsi="Times New Roman"/>
          <w:sz w:val="24"/>
          <w:szCs w:val="24"/>
          <w:lang w:val="en-US"/>
        </w:rPr>
        <w:t xml:space="preserve">. </w:t>
      </w:r>
    </w:p>
    <w:p w14:paraId="4177D35B">
      <w:pPr>
        <w:pStyle w:val="style179"/>
        <w:numPr>
          <w:ilvl w:val="0"/>
          <w:numId w:val="1"/>
        </w:numPr>
        <w:spacing w:after="60" w:lineRule="auto" w:line="480"/>
        <w:jc w:val="both"/>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To</w:t>
      </w:r>
      <w:r>
        <w:rPr>
          <w:rFonts w:ascii="Times New Roman" w:cs="Times New Roman" w:eastAsia="Times New Roman" w:hAnsi="Times New Roman"/>
          <w:sz w:val="24"/>
          <w:szCs w:val="24"/>
        </w:rPr>
        <w:t xml:space="preserve"> identify barriers to retrofit adoptio</w:t>
      </w:r>
      <w:r>
        <w:rPr>
          <w:rFonts w:ascii="Times New Roman" w:cs="Times New Roman" w:eastAsia="Times New Roman" w:hAnsi="Times New Roman"/>
          <w:sz w:val="24"/>
          <w:szCs w:val="24"/>
          <w:lang w:val="en-US"/>
        </w:rPr>
        <w:t xml:space="preserve">n. </w:t>
      </w:r>
    </w:p>
    <w:p w14:paraId="27B309F3">
      <w:pPr>
        <w:pStyle w:val="style179"/>
        <w:numPr>
          <w:ilvl w:val="0"/>
          <w:numId w:val="1"/>
        </w:numPr>
        <w:spacing w:after="60" w:lineRule="auto" w:line="480"/>
        <w:jc w:val="both"/>
        <w:rPr/>
      </w:pPr>
      <w:r>
        <w:rPr>
          <w:rFonts w:ascii="Times New Roman" w:cs="Times New Roman" w:eastAsia="Times New Roman" w:hAnsi="Times New Roman"/>
          <w:sz w:val="24"/>
          <w:szCs w:val="24"/>
          <w:lang w:val="en-US"/>
        </w:rPr>
        <w:t>And to</w:t>
      </w:r>
      <w:r>
        <w:rPr>
          <w:rFonts w:ascii="Times New Roman" w:cs="Times New Roman" w:eastAsia="Times New Roman" w:hAnsi="Times New Roman"/>
          <w:sz w:val="24"/>
          <w:szCs w:val="24"/>
        </w:rPr>
        <w:t xml:space="preserve"> propose a practical implementation pathway for hotel operators, built</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environment professionals and policymakers.</w:t>
      </w:r>
    </w:p>
    <w:p w14:paraId="BC41B746">
      <w:pPr>
        <w:pStyle w:val="style0"/>
        <w:keepNext/>
        <w:spacing w:before="240" w:after="120" w:lineRule="auto" w:line="480"/>
        <w:rPr/>
      </w:pPr>
      <w:r>
        <w:rPr>
          <w:rFonts w:ascii="Times New Roman" w:cs="Times New Roman" w:eastAsia="Times New Roman" w:hAnsi="Times New Roman"/>
          <w:b/>
          <w:bCs/>
          <w:color w:val="000000"/>
          <w:sz w:val="24"/>
          <w:szCs w:val="24"/>
        </w:rPr>
        <w:t>LITERATURE REVIEW</w:t>
      </w:r>
    </w:p>
    <w:p w14:paraId="E2170235">
      <w:pPr>
        <w:pStyle w:val="style0"/>
        <w:spacing w:after="120" w:lineRule="auto" w:line="480"/>
        <w:jc w:val="both"/>
        <w:rPr/>
      </w:pPr>
      <w:r>
        <w:rPr>
          <w:rFonts w:ascii="Times New Roman" w:cs="Times New Roman" w:eastAsia="Times New Roman" w:hAnsi="Times New Roman"/>
          <w:sz w:val="24"/>
          <w:szCs w:val="24"/>
        </w:rPr>
        <w:t>Building retrofitting refers to the improvement of existing buildings through technical, operational and fabric-based interventions that reduce energy demand while maintaining or improving performance. Retrofit actions may include LED lighting, improved HVAC equipment, smart thermostats, occupancy sensors, better glazing, roof insulation, solar photovoltaic systems, solar water heaters and building</w:t>
      </w:r>
      <w:r>
        <w:rPr>
          <w:rFonts w:ascii="Times New Roman" w:cs="Times New Roman" w:eastAsia="Times New Roman" w:hAnsi="Times New Roman"/>
          <w:sz w:val="24"/>
          <w:szCs w:val="24"/>
          <w:lang w:val="en-US"/>
        </w:rPr>
        <w:t xml:space="preserve"> m</w:t>
      </w:r>
      <w:r>
        <w:rPr>
          <w:rFonts w:ascii="Times New Roman" w:cs="Times New Roman" w:eastAsia="Times New Roman" w:hAnsi="Times New Roman"/>
          <w:sz w:val="24"/>
          <w:szCs w:val="24"/>
        </w:rPr>
        <w:t>anagement systems. Retrofitting is valuable because it addresses the large stock of buildings already in operation, which will continue to dominate the built environment for many years.</w:t>
      </w:r>
    </w:p>
    <w:p w14:paraId="0A7DA7CB">
      <w:pPr>
        <w:pStyle w:val="style0"/>
        <w:spacing w:after="120" w:lineRule="auto" w:line="480"/>
        <w:jc w:val="both"/>
        <w:rPr/>
      </w:pPr>
      <w:r>
        <w:rPr>
          <w:rFonts w:ascii="Times New Roman" w:cs="Times New Roman" w:eastAsia="Times New Roman" w:hAnsi="Times New Roman"/>
          <w:sz w:val="24"/>
          <w:szCs w:val="24"/>
        </w:rPr>
        <w:t>Hotel buildings are energy intensive because they combine residential, commercial, catering and leisure functions. Earlier building-energy literature identified HVAC, lighting and equipment as major end-uses in buildings (Pérez-Lombard et al., 2008). More recent hotel studies continue to show that HVAC and cooling systems dominate energy use, especially in hot climates and hotels with high occupancy or poor operational control (Agharid et al., 2024; Zhiri &amp; Bawa, 2024). Retrofit planning in Nigerian hotels must therefore prioritise cooling efficiency, lighting efficiency and operational control.</w:t>
      </w:r>
    </w:p>
    <w:p w14:paraId="01616FEE">
      <w:pPr>
        <w:pStyle w:val="style0"/>
        <w:spacing w:after="60" w:lineRule="auto" w:line="480"/>
        <w:jc w:val="both"/>
        <w:rPr/>
      </w:pPr>
      <w:r>
        <w:rPr>
          <w:rFonts w:ascii="Times New Roman" w:cs="Times New Roman" w:eastAsia="Times New Roman" w:hAnsi="Times New Roman"/>
          <w:sz w:val="24"/>
          <w:szCs w:val="24"/>
        </w:rPr>
        <w:t>Current global reports support the relevance of this study. The IEA's Energy Efficiency 2024 report describes energy efficiency as a key strategy for managing demand, reducing costs and improving energy security (IEA, 2024). The UNEP and GlobalABC buildings report stresses that building</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sector progress remains insufficient and that stronger policy, finance and technology adoption are needed to align buildings with climate and sustainability goals (UNEP &amp; GlobalABC, 2024). These findings are directly relevant to Nigeria's hospitality industry because energy cost and reliability are already major operational risks.</w:t>
      </w:r>
    </w:p>
    <w:p w14:paraId="54FFB471">
      <w:pPr>
        <w:pStyle w:val="style0"/>
        <w:keepNext/>
        <w:spacing w:before="240" w:after="120" w:lineRule="auto" w:line="480"/>
        <w:rPr/>
      </w:pPr>
      <w:r>
        <w:rPr>
          <w:rFonts w:ascii="Times New Roman" w:cs="Times New Roman" w:eastAsia="Times New Roman" w:hAnsi="Times New Roman"/>
          <w:b/>
          <w:bCs/>
          <w:color w:val="000000"/>
          <w:sz w:val="24"/>
          <w:szCs w:val="24"/>
        </w:rPr>
        <w:t>METHODOLOGY</w:t>
      </w:r>
    </w:p>
    <w:p w14:paraId="954EEDFD">
      <w:pPr>
        <w:pStyle w:val="style0"/>
        <w:spacing w:after="120" w:lineRule="auto" w:line="480"/>
        <w:jc w:val="both"/>
        <w:rPr/>
      </w:pPr>
      <w:r>
        <w:rPr>
          <w:rFonts w:ascii="Times New Roman" w:cs="Times New Roman" w:eastAsia="Times New Roman" w:hAnsi="Times New Roman"/>
          <w:sz w:val="24"/>
          <w:szCs w:val="24"/>
        </w:rPr>
        <w:t>The study adopted a qualitative desk</w:t>
      </w:r>
      <w:r>
        <w:rPr>
          <w:rFonts w:ascii="Times New Roman" w:cs="Times New Roman" w:eastAsia="Times New Roman" w:hAnsi="Times New Roman"/>
          <w:sz w:val="24"/>
          <w:szCs w:val="24"/>
          <w:lang w:val="en-US"/>
        </w:rPr>
        <w:t xml:space="preserve"> r</w:t>
      </w:r>
      <w:r>
        <w:rPr>
          <w:rFonts w:ascii="Times New Roman" w:cs="Times New Roman" w:eastAsia="Times New Roman" w:hAnsi="Times New Roman"/>
          <w:sz w:val="24"/>
          <w:szCs w:val="24"/>
        </w:rPr>
        <w:t>eview design. Secondary data were drawn from peer</w:t>
      </w:r>
      <w:r>
        <w:rPr>
          <w:rFonts w:ascii="Times New Roman" w:cs="Times New Roman" w:eastAsia="Times New Roman" w:hAnsi="Times New Roman"/>
          <w:sz w:val="24"/>
          <w:szCs w:val="24"/>
          <w:lang w:val="en-US"/>
        </w:rPr>
        <w:t xml:space="preserve"> r</w:t>
      </w:r>
      <w:r>
        <w:rPr>
          <w:rFonts w:ascii="Times New Roman" w:cs="Times New Roman" w:eastAsia="Times New Roman" w:hAnsi="Times New Roman"/>
          <w:sz w:val="24"/>
          <w:szCs w:val="24"/>
        </w:rPr>
        <w:t>eviewed journal articles, conference papers, government electricity reports, international energy reports and sustainability publications relating to hotel energy use, building retrofitting and energy efficiency. Source selection was purposive and based on relevance to hotel buildings, energy consumption, retrofitting, tropical climates, developing economies and Nigeria's electricity context.</w:t>
      </w:r>
    </w:p>
    <w:p w14:paraId="1B234810">
      <w:pPr>
        <w:pStyle w:val="style0"/>
        <w:spacing w:after="60" w:lineRule="auto" w:line="480"/>
        <w:jc w:val="both"/>
        <w:rPr/>
      </w:pPr>
      <w:r>
        <w:rPr>
          <w:rFonts w:ascii="Times New Roman" w:cs="Times New Roman" w:eastAsia="Times New Roman" w:hAnsi="Times New Roman"/>
          <w:sz w:val="24"/>
          <w:szCs w:val="24"/>
        </w:rPr>
        <w:t>The reviewed materials were analysed using qualitative content analysis and comparative synthesis, grouped into key themes: energy-use profile of hotels, retrofit technologies, saving potential, implementation barriers, financing options and policy implications. The numerical values presented in the tables and figures are therefore indicative ranges synthesised from the literature, not direct measurement from a single hotel. This approach is appropriate for the objective of the paper, which is to develop a practical retrofit pathway for scholarly discussion and further empirical research.</w:t>
      </w:r>
    </w:p>
    <w:p w14:paraId="C6E8E79E">
      <w:pPr>
        <w:pStyle w:val="style0"/>
        <w:keepNext/>
        <w:spacing w:before="240" w:after="120" w:lineRule="auto" w:line="480"/>
        <w:rPr/>
      </w:pPr>
      <w:r>
        <w:rPr>
          <w:rFonts w:ascii="Times New Roman" w:cs="Times New Roman" w:eastAsia="Times New Roman" w:hAnsi="Times New Roman"/>
          <w:b/>
          <w:bCs/>
          <w:color w:val="000000"/>
          <w:sz w:val="24"/>
          <w:szCs w:val="24"/>
        </w:rPr>
        <w:t>RESULTS AND DISCUSSION</w:t>
      </w:r>
    </w:p>
    <w:p w14:paraId="15B86747">
      <w:pPr>
        <w:pStyle w:val="style0"/>
        <w:spacing w:before="180" w:after="100" w:lineRule="auto" w:line="480"/>
        <w:rPr/>
      </w:pPr>
      <w:r>
        <w:rPr>
          <w:rFonts w:ascii="Times New Roman" w:cs="Times New Roman" w:eastAsia="Times New Roman" w:hAnsi="Times New Roman"/>
          <w:b/>
          <w:bCs/>
          <w:i/>
          <w:iCs/>
          <w:sz w:val="24"/>
          <w:szCs w:val="24"/>
        </w:rPr>
        <w:t>Energy Consumption Pattern in Hotel Buildings</w:t>
      </w:r>
    </w:p>
    <w:p w14:paraId="BE9AFF08">
      <w:pPr>
        <w:pStyle w:val="style0"/>
        <w:spacing w:after="120" w:lineRule="auto" w:line="480"/>
        <w:jc w:val="both"/>
        <w:rPr/>
      </w:pPr>
      <w:r>
        <w:rPr>
          <w:rFonts w:ascii="Times New Roman" w:cs="Times New Roman" w:eastAsia="Times New Roman" w:hAnsi="Times New Roman"/>
          <w:sz w:val="24"/>
          <w:szCs w:val="24"/>
        </w:rPr>
        <w:t>The reviewed evidence shows that cooling</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related electricity demand is usually the largest energy burden in hotels located in warm climates. Lighting, water heating, kitchen and laundry operations, refrigeration and other plug loads also contribute significantly. Figure 1 presents an indicative hotel energy</w:t>
      </w:r>
      <w:r>
        <w:rPr>
          <w:rFonts w:ascii="Times New Roman" w:cs="Times New Roman" w:eastAsia="Times New Roman" w:hAnsi="Times New Roman"/>
          <w:sz w:val="24"/>
          <w:szCs w:val="24"/>
          <w:lang w:val="en-US"/>
        </w:rPr>
        <w:t xml:space="preserve"> u</w:t>
      </w:r>
      <w:r>
        <w:rPr>
          <w:rFonts w:ascii="Times New Roman" w:cs="Times New Roman" w:eastAsia="Times New Roman" w:hAnsi="Times New Roman"/>
          <w:sz w:val="24"/>
          <w:szCs w:val="24"/>
        </w:rPr>
        <w:t>se profile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actual values may vary according to hotel size, room occupancy, equipment age, climate, staff behaviour and maintenance culture.</w:t>
      </w:r>
    </w:p>
    <w:p w14:paraId="3F745EDE">
      <w:pPr>
        <w:pStyle w:val="style0"/>
        <w:spacing w:before="120" w:after="60"/>
        <w:jc w:val="center"/>
        <w:rPr/>
      </w:pPr>
      <w:r>
        <w:rPr/>
        <w:drawing>
          <wp:inline distL="0" distT="0" distB="0" distR="0">
            <wp:extent cx="3619500" cy="2028825"/>
            <wp:effectExtent l="0" t="0" r="0" b="0"/>
            <wp:docPr id="1026"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srcRect l="0" t="0" r="0" b="0"/>
                    <a:stretch/>
                  </pic:blipFill>
                  <pic:spPr>
                    <a:xfrm rot="0">
                      <a:off x="0" y="0"/>
                      <a:ext cx="3619500" cy="2028825"/>
                    </a:xfrm>
                    <a:prstGeom prst="rect"/>
                  </pic:spPr>
                </pic:pic>
              </a:graphicData>
            </a:graphic>
          </wp:inline>
        </w:drawing>
      </w:r>
    </w:p>
    <w:p w14:paraId="56A4CCFA">
      <w:pPr>
        <w:pStyle w:val="style0"/>
        <w:spacing w:after="200" w:lineRule="auto" w:line="240"/>
        <w:jc w:val="center"/>
        <w:rPr/>
      </w:pPr>
      <w:r>
        <w:rPr>
          <w:rFonts w:ascii="Times New Roman" w:cs="Times New Roman" w:eastAsia="Times New Roman" w:hAnsi="Times New Roman"/>
          <w:i/>
          <w:iCs/>
          <w:sz w:val="20"/>
          <w:szCs w:val="20"/>
        </w:rPr>
        <w:t>Figure 1: Indicative energy-use profile of hotel buildings. Source: Authors' synthesis from reviewed literature.</w:t>
      </w:r>
    </w:p>
    <w:p w14:paraId="24E58B34">
      <w:pPr>
        <w:pStyle w:val="style0"/>
        <w:spacing w:after="80" w:lineRule="auto" w:line="240"/>
        <w:jc w:val="both"/>
        <w:rPr/>
      </w:pPr>
      <w:r>
        <w:rPr>
          <w:rFonts w:ascii="Times New Roman" w:cs="Times New Roman" w:eastAsia="Times New Roman" w:hAnsi="Times New Roman"/>
          <w:b/>
          <w:bCs/>
          <w:sz w:val="24"/>
          <w:szCs w:val="24"/>
        </w:rPr>
        <w:t>Table 1: Major hotel energy end-uses and appropriate retrofit responses.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600"/>
        <w:gridCol w:w="2400"/>
        <w:gridCol w:w="2300"/>
        <w:gridCol w:w="2900"/>
      </w:tblGrid>
      <w:tr w14:paraId="D562169A">
        <w:trPr>
          <w:tblHeader/>
        </w:trPr>
        <w:tc>
          <w:tcPr>
            <w:tcW w:w="1600" w:type="dxa"/>
            <w:tcBorders/>
            <w:shd w:val="clear" w:color="auto" w:fill="d9e2d9"/>
            <w:tcMar>
              <w:top w:w="60" w:type="dxa"/>
              <w:left w:w="80" w:type="dxa"/>
              <w:bottom w:w="60" w:type="dxa"/>
              <w:right w:w="80" w:type="dxa"/>
            </w:tcMar>
            <w:vAlign w:val="center"/>
          </w:tcPr>
          <w:p w14:paraId="DA2D974A">
            <w:pPr>
              <w:pStyle w:val="style0"/>
              <w:spacing w:after="40" w:lineRule="auto" w:line="240"/>
              <w:jc w:val="center"/>
              <w:rPr/>
            </w:pPr>
            <w:r>
              <w:rPr>
                <w:rFonts w:ascii="Times New Roman" w:cs="Times New Roman" w:eastAsia="Times New Roman" w:hAnsi="Times New Roman"/>
                <w:b/>
                <w:bCs/>
                <w:sz w:val="19"/>
                <w:szCs w:val="19"/>
              </w:rPr>
              <w:t>Energy end-use</w:t>
            </w:r>
          </w:p>
        </w:tc>
        <w:tc>
          <w:tcPr>
            <w:tcW w:w="2400" w:type="dxa"/>
            <w:tcBorders/>
            <w:shd w:val="clear" w:color="auto" w:fill="d9e2d9"/>
            <w:tcMar>
              <w:top w:w="60" w:type="dxa"/>
              <w:left w:w="80" w:type="dxa"/>
              <w:bottom w:w="60" w:type="dxa"/>
              <w:right w:w="80" w:type="dxa"/>
            </w:tcMar>
            <w:vAlign w:val="center"/>
          </w:tcPr>
          <w:p w14:paraId="8ED43610">
            <w:pPr>
              <w:pStyle w:val="style0"/>
              <w:spacing w:after="40" w:lineRule="auto" w:line="240"/>
              <w:jc w:val="center"/>
              <w:rPr/>
            </w:pPr>
            <w:r>
              <w:rPr>
                <w:rFonts w:ascii="Times New Roman" w:cs="Times New Roman" w:eastAsia="Times New Roman" w:hAnsi="Times New Roman"/>
                <w:b/>
                <w:bCs/>
                <w:sz w:val="19"/>
                <w:szCs w:val="19"/>
              </w:rPr>
              <w:t>Typical drivers in hotels</w:t>
            </w:r>
          </w:p>
        </w:tc>
        <w:tc>
          <w:tcPr>
            <w:tcW w:w="2300" w:type="dxa"/>
            <w:tcBorders/>
            <w:shd w:val="clear" w:color="auto" w:fill="d9e2d9"/>
            <w:tcMar>
              <w:top w:w="60" w:type="dxa"/>
              <w:left w:w="80" w:type="dxa"/>
              <w:bottom w:w="60" w:type="dxa"/>
              <w:right w:w="80" w:type="dxa"/>
            </w:tcMar>
            <w:vAlign w:val="center"/>
          </w:tcPr>
          <w:p w14:paraId="4E9EE05D">
            <w:pPr>
              <w:pStyle w:val="style0"/>
              <w:spacing w:after="40" w:lineRule="auto" w:line="240"/>
              <w:jc w:val="center"/>
              <w:rPr/>
            </w:pPr>
            <w:r>
              <w:rPr>
                <w:rFonts w:ascii="Times New Roman" w:cs="Times New Roman" w:eastAsia="Times New Roman" w:hAnsi="Times New Roman"/>
                <w:b/>
                <w:bCs/>
                <w:sz w:val="19"/>
                <w:szCs w:val="19"/>
              </w:rPr>
              <w:t>Operational implication</w:t>
            </w:r>
          </w:p>
        </w:tc>
        <w:tc>
          <w:tcPr>
            <w:tcW w:w="2900" w:type="dxa"/>
            <w:tcBorders/>
            <w:shd w:val="clear" w:color="auto" w:fill="d9e2d9"/>
            <w:tcMar>
              <w:top w:w="60" w:type="dxa"/>
              <w:left w:w="80" w:type="dxa"/>
              <w:bottom w:w="60" w:type="dxa"/>
              <w:right w:w="80" w:type="dxa"/>
            </w:tcMar>
            <w:vAlign w:val="center"/>
          </w:tcPr>
          <w:p w14:paraId="22BD97A5">
            <w:pPr>
              <w:pStyle w:val="style0"/>
              <w:spacing w:after="40" w:lineRule="auto" w:line="240"/>
              <w:jc w:val="center"/>
              <w:rPr/>
            </w:pPr>
            <w:r>
              <w:rPr>
                <w:rFonts w:ascii="Times New Roman" w:cs="Times New Roman" w:eastAsia="Times New Roman" w:hAnsi="Times New Roman"/>
                <w:b/>
                <w:bCs/>
                <w:sz w:val="19"/>
                <w:szCs w:val="19"/>
              </w:rPr>
              <w:t>Retrofit response</w:t>
            </w:r>
          </w:p>
        </w:tc>
      </w:tr>
      <w:tr w14:paraId="3C1335FA">
        <w:tblPrEx/>
        <w:trPr/>
        <w:tc>
          <w:tcPr>
            <w:tcW w:w="1600" w:type="dxa"/>
            <w:tcBorders/>
            <w:tcMar>
              <w:top w:w="60" w:type="dxa"/>
              <w:left w:w="80" w:type="dxa"/>
              <w:bottom w:w="60" w:type="dxa"/>
              <w:right w:w="80" w:type="dxa"/>
            </w:tcMar>
            <w:vAlign w:val="center"/>
          </w:tcPr>
          <w:p w14:paraId="1A90E608">
            <w:pPr>
              <w:pStyle w:val="style0"/>
              <w:spacing w:after="40" w:lineRule="auto" w:line="240"/>
              <w:jc w:val="left"/>
              <w:rPr/>
            </w:pPr>
            <w:r>
              <w:rPr>
                <w:rFonts w:ascii="Times New Roman" w:cs="Times New Roman" w:eastAsia="Times New Roman" w:hAnsi="Times New Roman"/>
                <w:b w:val="false"/>
                <w:bCs w:val="false"/>
                <w:sz w:val="19"/>
                <w:szCs w:val="19"/>
              </w:rPr>
              <w:t>HVAC / cooling</w:t>
            </w:r>
          </w:p>
        </w:tc>
        <w:tc>
          <w:tcPr>
            <w:tcW w:w="2400" w:type="dxa"/>
            <w:tcBorders/>
            <w:tcMar>
              <w:top w:w="60" w:type="dxa"/>
              <w:left w:w="80" w:type="dxa"/>
              <w:bottom w:w="60" w:type="dxa"/>
              <w:right w:w="80" w:type="dxa"/>
            </w:tcMar>
            <w:vAlign w:val="center"/>
          </w:tcPr>
          <w:p w14:paraId="842EE5C8">
            <w:pPr>
              <w:pStyle w:val="style0"/>
              <w:spacing w:after="40" w:lineRule="auto" w:line="240"/>
              <w:jc w:val="left"/>
              <w:rPr/>
            </w:pPr>
            <w:r>
              <w:rPr>
                <w:rFonts w:ascii="Times New Roman" w:cs="Times New Roman" w:eastAsia="Times New Roman" w:hAnsi="Times New Roman"/>
                <w:b w:val="false"/>
                <w:bCs w:val="false"/>
                <w:sz w:val="19"/>
                <w:szCs w:val="19"/>
              </w:rPr>
              <w:t>High temperature, poor controls, old AC units, poor maintenance</w:t>
            </w:r>
          </w:p>
        </w:tc>
        <w:tc>
          <w:tcPr>
            <w:tcW w:w="2300" w:type="dxa"/>
            <w:tcBorders/>
            <w:tcMar>
              <w:top w:w="60" w:type="dxa"/>
              <w:left w:w="80" w:type="dxa"/>
              <w:bottom w:w="60" w:type="dxa"/>
              <w:right w:w="80" w:type="dxa"/>
            </w:tcMar>
            <w:vAlign w:val="center"/>
          </w:tcPr>
          <w:p w14:paraId="9953CB5F">
            <w:pPr>
              <w:pStyle w:val="style0"/>
              <w:spacing w:after="40" w:lineRule="auto" w:line="240"/>
              <w:jc w:val="left"/>
              <w:rPr/>
            </w:pPr>
            <w:r>
              <w:rPr>
                <w:rFonts w:ascii="Times New Roman" w:cs="Times New Roman" w:eastAsia="Times New Roman" w:hAnsi="Times New Roman"/>
                <w:b w:val="false"/>
                <w:bCs w:val="false"/>
                <w:sz w:val="19"/>
                <w:szCs w:val="19"/>
              </w:rPr>
              <w:t>High electricity and generator fuel demand</w:t>
            </w:r>
          </w:p>
        </w:tc>
        <w:tc>
          <w:tcPr>
            <w:tcW w:w="2900" w:type="dxa"/>
            <w:tcBorders/>
            <w:tcMar>
              <w:top w:w="60" w:type="dxa"/>
              <w:left w:w="80" w:type="dxa"/>
              <w:bottom w:w="60" w:type="dxa"/>
              <w:right w:w="80" w:type="dxa"/>
            </w:tcMar>
            <w:vAlign w:val="center"/>
          </w:tcPr>
          <w:p w14:paraId="ED75D362">
            <w:pPr>
              <w:pStyle w:val="style0"/>
              <w:spacing w:after="40" w:lineRule="auto" w:line="240"/>
              <w:jc w:val="left"/>
              <w:rPr/>
            </w:pPr>
            <w:r>
              <w:rPr>
                <w:rFonts w:ascii="Times New Roman" w:cs="Times New Roman" w:eastAsia="Times New Roman" w:hAnsi="Times New Roman"/>
                <w:b w:val="false"/>
                <w:bCs w:val="false"/>
                <w:sz w:val="19"/>
                <w:szCs w:val="19"/>
              </w:rPr>
              <w:t>Efficient chillers/ACs, thermostats, occupancy controls, preventive maintenance</w:t>
            </w:r>
          </w:p>
        </w:tc>
      </w:tr>
      <w:tr w14:paraId="5CC1AC9C">
        <w:tblPrEx/>
        <w:trPr/>
        <w:tc>
          <w:tcPr>
            <w:tcW w:w="1600" w:type="dxa"/>
            <w:tcBorders/>
            <w:tcMar>
              <w:top w:w="60" w:type="dxa"/>
              <w:left w:w="80" w:type="dxa"/>
              <w:bottom w:w="60" w:type="dxa"/>
              <w:right w:w="80" w:type="dxa"/>
            </w:tcMar>
            <w:vAlign w:val="center"/>
          </w:tcPr>
          <w:p w14:paraId="E675B38B">
            <w:pPr>
              <w:pStyle w:val="style0"/>
              <w:spacing w:after="40" w:lineRule="auto" w:line="240"/>
              <w:jc w:val="left"/>
              <w:rPr/>
            </w:pPr>
            <w:r>
              <w:rPr>
                <w:rFonts w:ascii="Times New Roman" w:cs="Times New Roman" w:eastAsia="Times New Roman" w:hAnsi="Times New Roman"/>
                <w:b w:val="false"/>
                <w:bCs w:val="false"/>
                <w:sz w:val="19"/>
                <w:szCs w:val="19"/>
              </w:rPr>
              <w:t>Lighting</w:t>
            </w:r>
          </w:p>
        </w:tc>
        <w:tc>
          <w:tcPr>
            <w:tcW w:w="2400" w:type="dxa"/>
            <w:tcBorders/>
            <w:tcMar>
              <w:top w:w="60" w:type="dxa"/>
              <w:left w:w="80" w:type="dxa"/>
              <w:bottom w:w="60" w:type="dxa"/>
              <w:right w:w="80" w:type="dxa"/>
            </w:tcMar>
            <w:vAlign w:val="center"/>
          </w:tcPr>
          <w:p w14:paraId="5C4868BE">
            <w:pPr>
              <w:pStyle w:val="style0"/>
              <w:spacing w:after="40" w:lineRule="auto" w:line="240"/>
              <w:jc w:val="left"/>
              <w:rPr/>
            </w:pPr>
            <w:r>
              <w:rPr>
                <w:rFonts w:ascii="Times New Roman" w:cs="Times New Roman" w:eastAsia="Times New Roman" w:hAnsi="Times New Roman"/>
                <w:b w:val="false"/>
                <w:bCs w:val="false"/>
                <w:sz w:val="19"/>
                <w:szCs w:val="19"/>
              </w:rPr>
              <w:t>Long operating hours, inefficient lamps, decorative lighting</w:t>
            </w:r>
          </w:p>
        </w:tc>
        <w:tc>
          <w:tcPr>
            <w:tcW w:w="2300" w:type="dxa"/>
            <w:tcBorders/>
            <w:tcMar>
              <w:top w:w="60" w:type="dxa"/>
              <w:left w:w="80" w:type="dxa"/>
              <w:bottom w:w="60" w:type="dxa"/>
              <w:right w:w="80" w:type="dxa"/>
            </w:tcMar>
            <w:vAlign w:val="center"/>
          </w:tcPr>
          <w:p w14:paraId="52D78746">
            <w:pPr>
              <w:pStyle w:val="style0"/>
              <w:spacing w:after="40" w:lineRule="auto" w:line="240"/>
              <w:jc w:val="left"/>
              <w:rPr/>
            </w:pPr>
            <w:r>
              <w:rPr>
                <w:rFonts w:ascii="Times New Roman" w:cs="Times New Roman" w:eastAsia="Times New Roman" w:hAnsi="Times New Roman"/>
                <w:b w:val="false"/>
                <w:bCs w:val="false"/>
                <w:sz w:val="19"/>
                <w:szCs w:val="19"/>
              </w:rPr>
              <w:t>Higher electricity use and heat gain</w:t>
            </w:r>
          </w:p>
        </w:tc>
        <w:tc>
          <w:tcPr>
            <w:tcW w:w="2900" w:type="dxa"/>
            <w:tcBorders/>
            <w:tcMar>
              <w:top w:w="60" w:type="dxa"/>
              <w:left w:w="80" w:type="dxa"/>
              <w:bottom w:w="60" w:type="dxa"/>
              <w:right w:w="80" w:type="dxa"/>
            </w:tcMar>
            <w:vAlign w:val="center"/>
          </w:tcPr>
          <w:p w14:paraId="3693786A">
            <w:pPr>
              <w:pStyle w:val="style0"/>
              <w:spacing w:after="40" w:lineRule="auto" w:line="240"/>
              <w:jc w:val="left"/>
              <w:rPr/>
            </w:pPr>
            <w:r>
              <w:rPr>
                <w:rFonts w:ascii="Times New Roman" w:cs="Times New Roman" w:eastAsia="Times New Roman" w:hAnsi="Times New Roman"/>
                <w:b w:val="false"/>
                <w:bCs w:val="false"/>
                <w:sz w:val="19"/>
                <w:szCs w:val="19"/>
              </w:rPr>
              <w:t>LED replacement, daylighting, motion sensors, zoning</w:t>
            </w:r>
          </w:p>
        </w:tc>
      </w:tr>
      <w:tr w14:paraId="B5F4C2C3">
        <w:tblPrEx/>
        <w:trPr/>
        <w:tc>
          <w:tcPr>
            <w:tcW w:w="1600" w:type="dxa"/>
            <w:tcBorders/>
            <w:tcMar>
              <w:top w:w="60" w:type="dxa"/>
              <w:left w:w="80" w:type="dxa"/>
              <w:bottom w:w="60" w:type="dxa"/>
              <w:right w:w="80" w:type="dxa"/>
            </w:tcMar>
            <w:vAlign w:val="center"/>
          </w:tcPr>
          <w:p w14:paraId="26194AC9">
            <w:pPr>
              <w:pStyle w:val="style0"/>
              <w:spacing w:after="40" w:lineRule="auto" w:line="240"/>
              <w:jc w:val="left"/>
              <w:rPr/>
            </w:pPr>
            <w:r>
              <w:rPr>
                <w:rFonts w:ascii="Times New Roman" w:cs="Times New Roman" w:eastAsia="Times New Roman" w:hAnsi="Times New Roman"/>
                <w:b w:val="false"/>
                <w:bCs w:val="false"/>
                <w:sz w:val="19"/>
                <w:szCs w:val="19"/>
              </w:rPr>
              <w:t>Water heating</w:t>
            </w:r>
          </w:p>
        </w:tc>
        <w:tc>
          <w:tcPr>
            <w:tcW w:w="2400" w:type="dxa"/>
            <w:tcBorders/>
            <w:tcMar>
              <w:top w:w="60" w:type="dxa"/>
              <w:left w:w="80" w:type="dxa"/>
              <w:bottom w:w="60" w:type="dxa"/>
              <w:right w:w="80" w:type="dxa"/>
            </w:tcMar>
            <w:vAlign w:val="center"/>
          </w:tcPr>
          <w:p w14:paraId="853DC209">
            <w:pPr>
              <w:pStyle w:val="style0"/>
              <w:spacing w:after="40" w:lineRule="auto" w:line="240"/>
              <w:jc w:val="left"/>
              <w:rPr/>
            </w:pPr>
            <w:r>
              <w:rPr>
                <w:rFonts w:ascii="Times New Roman" w:cs="Times New Roman" w:eastAsia="Times New Roman" w:hAnsi="Times New Roman"/>
                <w:b w:val="false"/>
                <w:bCs w:val="false"/>
                <w:sz w:val="19"/>
                <w:szCs w:val="19"/>
              </w:rPr>
              <w:t>Laundry, kitchens, guest bathrooms</w:t>
            </w:r>
          </w:p>
        </w:tc>
        <w:tc>
          <w:tcPr>
            <w:tcW w:w="2300" w:type="dxa"/>
            <w:tcBorders/>
            <w:tcMar>
              <w:top w:w="60" w:type="dxa"/>
              <w:left w:w="80" w:type="dxa"/>
              <w:bottom w:w="60" w:type="dxa"/>
              <w:right w:w="80" w:type="dxa"/>
            </w:tcMar>
            <w:vAlign w:val="center"/>
          </w:tcPr>
          <w:p w14:paraId="F4C3DB12">
            <w:pPr>
              <w:pStyle w:val="style0"/>
              <w:spacing w:after="40" w:lineRule="auto" w:line="240"/>
              <w:jc w:val="left"/>
              <w:rPr/>
            </w:pPr>
            <w:r>
              <w:rPr>
                <w:rFonts w:ascii="Times New Roman" w:cs="Times New Roman" w:eastAsia="Times New Roman" w:hAnsi="Times New Roman"/>
                <w:b w:val="false"/>
                <w:bCs w:val="false"/>
                <w:sz w:val="19"/>
                <w:szCs w:val="19"/>
              </w:rPr>
              <w:t>High fuel/electricity cost</w:t>
            </w:r>
          </w:p>
        </w:tc>
        <w:tc>
          <w:tcPr>
            <w:tcW w:w="2900" w:type="dxa"/>
            <w:tcBorders/>
            <w:tcMar>
              <w:top w:w="60" w:type="dxa"/>
              <w:left w:w="80" w:type="dxa"/>
              <w:bottom w:w="60" w:type="dxa"/>
              <w:right w:w="80" w:type="dxa"/>
            </w:tcMar>
            <w:vAlign w:val="center"/>
          </w:tcPr>
          <w:p w14:paraId="D315BD64">
            <w:pPr>
              <w:pStyle w:val="style0"/>
              <w:spacing w:after="40" w:lineRule="auto" w:line="240"/>
              <w:jc w:val="left"/>
              <w:rPr/>
            </w:pPr>
            <w:r>
              <w:rPr>
                <w:rFonts w:ascii="Times New Roman" w:cs="Times New Roman" w:eastAsia="Times New Roman" w:hAnsi="Times New Roman"/>
                <w:b w:val="false"/>
                <w:bCs w:val="false"/>
                <w:sz w:val="19"/>
                <w:szCs w:val="19"/>
              </w:rPr>
              <w:t>Solar water heating, heat-pump water heaters, pipe insulation</w:t>
            </w:r>
          </w:p>
        </w:tc>
      </w:tr>
      <w:tr w14:paraId="2B23DE95">
        <w:tblPrEx/>
        <w:trPr/>
        <w:tc>
          <w:tcPr>
            <w:tcW w:w="1600" w:type="dxa"/>
            <w:tcBorders/>
            <w:tcMar>
              <w:top w:w="60" w:type="dxa"/>
              <w:left w:w="80" w:type="dxa"/>
              <w:bottom w:w="60" w:type="dxa"/>
              <w:right w:w="80" w:type="dxa"/>
            </w:tcMar>
            <w:vAlign w:val="center"/>
          </w:tcPr>
          <w:p w14:paraId="7B3593E9">
            <w:pPr>
              <w:pStyle w:val="style0"/>
              <w:spacing w:after="40" w:lineRule="auto" w:line="240"/>
              <w:jc w:val="left"/>
              <w:rPr/>
            </w:pPr>
            <w:r>
              <w:rPr>
                <w:rFonts w:ascii="Times New Roman" w:cs="Times New Roman" w:eastAsia="Times New Roman" w:hAnsi="Times New Roman"/>
                <w:b w:val="false"/>
                <w:bCs w:val="false"/>
                <w:sz w:val="19"/>
                <w:szCs w:val="19"/>
              </w:rPr>
              <w:t>Kitchen / laundry</w:t>
            </w:r>
          </w:p>
        </w:tc>
        <w:tc>
          <w:tcPr>
            <w:tcW w:w="2400" w:type="dxa"/>
            <w:tcBorders/>
            <w:tcMar>
              <w:top w:w="60" w:type="dxa"/>
              <w:left w:w="80" w:type="dxa"/>
              <w:bottom w:w="60" w:type="dxa"/>
              <w:right w:w="80" w:type="dxa"/>
            </w:tcMar>
            <w:vAlign w:val="center"/>
          </w:tcPr>
          <w:p w14:paraId="9FFD4A11">
            <w:pPr>
              <w:pStyle w:val="style0"/>
              <w:spacing w:after="40" w:lineRule="auto" w:line="240"/>
              <w:jc w:val="left"/>
              <w:rPr/>
            </w:pPr>
            <w:r>
              <w:rPr>
                <w:rFonts w:ascii="Times New Roman" w:cs="Times New Roman" w:eastAsia="Times New Roman" w:hAnsi="Times New Roman"/>
                <w:b w:val="false"/>
                <w:bCs w:val="false"/>
                <w:sz w:val="19"/>
                <w:szCs w:val="19"/>
              </w:rPr>
              <w:t>Commercial cooking, washing, drying, ironing</w:t>
            </w:r>
          </w:p>
        </w:tc>
        <w:tc>
          <w:tcPr>
            <w:tcW w:w="2300" w:type="dxa"/>
            <w:tcBorders/>
            <w:tcMar>
              <w:top w:w="60" w:type="dxa"/>
              <w:left w:w="80" w:type="dxa"/>
              <w:bottom w:w="60" w:type="dxa"/>
              <w:right w:w="80" w:type="dxa"/>
            </w:tcMar>
            <w:vAlign w:val="center"/>
          </w:tcPr>
          <w:p w14:paraId="14250133">
            <w:pPr>
              <w:pStyle w:val="style0"/>
              <w:spacing w:after="40" w:lineRule="auto" w:line="240"/>
              <w:jc w:val="left"/>
              <w:rPr/>
            </w:pPr>
            <w:r>
              <w:rPr>
                <w:rFonts w:ascii="Times New Roman" w:cs="Times New Roman" w:eastAsia="Times New Roman" w:hAnsi="Times New Roman"/>
                <w:b w:val="false"/>
                <w:bCs w:val="false"/>
                <w:sz w:val="19"/>
                <w:szCs w:val="19"/>
              </w:rPr>
              <w:t>Peak demand and thermal load</w:t>
            </w:r>
          </w:p>
        </w:tc>
        <w:tc>
          <w:tcPr>
            <w:tcW w:w="2900" w:type="dxa"/>
            <w:tcBorders/>
            <w:tcMar>
              <w:top w:w="60" w:type="dxa"/>
              <w:left w:w="80" w:type="dxa"/>
              <w:bottom w:w="60" w:type="dxa"/>
              <w:right w:w="80" w:type="dxa"/>
            </w:tcMar>
            <w:vAlign w:val="center"/>
          </w:tcPr>
          <w:p w14:paraId="30793E15">
            <w:pPr>
              <w:pStyle w:val="style0"/>
              <w:spacing w:after="40" w:lineRule="auto" w:line="240"/>
              <w:jc w:val="left"/>
              <w:rPr/>
            </w:pPr>
            <w:r>
              <w:rPr>
                <w:rFonts w:ascii="Times New Roman" w:cs="Times New Roman" w:eastAsia="Times New Roman" w:hAnsi="Times New Roman"/>
                <w:b w:val="false"/>
                <w:bCs w:val="false"/>
                <w:sz w:val="19"/>
                <w:szCs w:val="19"/>
              </w:rPr>
              <w:t>Efficient equipment, scheduling, maintenance, heat recovery where feasible</w:t>
            </w:r>
          </w:p>
        </w:tc>
      </w:tr>
      <w:tr w14:paraId="51B632A7">
        <w:tblPrEx/>
        <w:trPr/>
        <w:tc>
          <w:tcPr>
            <w:tcW w:w="1600" w:type="dxa"/>
            <w:tcBorders/>
            <w:tcMar>
              <w:top w:w="60" w:type="dxa"/>
              <w:left w:w="80" w:type="dxa"/>
              <w:bottom w:w="60" w:type="dxa"/>
              <w:right w:w="80" w:type="dxa"/>
            </w:tcMar>
            <w:vAlign w:val="center"/>
          </w:tcPr>
          <w:p w14:paraId="7214A79B">
            <w:pPr>
              <w:pStyle w:val="style0"/>
              <w:spacing w:after="40" w:lineRule="auto" w:line="240"/>
              <w:jc w:val="left"/>
              <w:rPr/>
            </w:pPr>
            <w:r>
              <w:rPr>
                <w:rFonts w:ascii="Times New Roman" w:cs="Times New Roman" w:eastAsia="Times New Roman" w:hAnsi="Times New Roman"/>
                <w:b w:val="false"/>
                <w:bCs w:val="false"/>
                <w:sz w:val="19"/>
                <w:szCs w:val="19"/>
              </w:rPr>
              <w:t>Refrigeration</w:t>
            </w:r>
          </w:p>
        </w:tc>
        <w:tc>
          <w:tcPr>
            <w:tcW w:w="2400" w:type="dxa"/>
            <w:tcBorders/>
            <w:tcMar>
              <w:top w:w="60" w:type="dxa"/>
              <w:left w:w="80" w:type="dxa"/>
              <w:bottom w:w="60" w:type="dxa"/>
              <w:right w:w="80" w:type="dxa"/>
            </w:tcMar>
            <w:vAlign w:val="center"/>
          </w:tcPr>
          <w:p w14:paraId="94C5C2A1">
            <w:pPr>
              <w:pStyle w:val="style0"/>
              <w:spacing w:after="40" w:lineRule="auto" w:line="240"/>
              <w:jc w:val="left"/>
              <w:rPr/>
            </w:pPr>
            <w:r>
              <w:rPr>
                <w:rFonts w:ascii="Times New Roman" w:cs="Times New Roman" w:eastAsia="Times New Roman" w:hAnsi="Times New Roman"/>
                <w:b w:val="false"/>
                <w:bCs w:val="false"/>
                <w:sz w:val="19"/>
                <w:szCs w:val="19"/>
              </w:rPr>
              <w:t>Cold rooms, bars, kitchens and restaurants</w:t>
            </w:r>
          </w:p>
        </w:tc>
        <w:tc>
          <w:tcPr>
            <w:tcW w:w="2300" w:type="dxa"/>
            <w:tcBorders/>
            <w:tcMar>
              <w:top w:w="60" w:type="dxa"/>
              <w:left w:w="80" w:type="dxa"/>
              <w:bottom w:w="60" w:type="dxa"/>
              <w:right w:w="80" w:type="dxa"/>
            </w:tcMar>
            <w:vAlign w:val="center"/>
          </w:tcPr>
          <w:p w14:paraId="73FC6B79">
            <w:pPr>
              <w:pStyle w:val="style0"/>
              <w:spacing w:after="40" w:lineRule="auto" w:line="240"/>
              <w:jc w:val="left"/>
              <w:rPr/>
            </w:pPr>
            <w:r>
              <w:rPr>
                <w:rFonts w:ascii="Times New Roman" w:cs="Times New Roman" w:eastAsia="Times New Roman" w:hAnsi="Times New Roman"/>
                <w:b w:val="false"/>
                <w:bCs w:val="false"/>
                <w:sz w:val="19"/>
                <w:szCs w:val="19"/>
              </w:rPr>
              <w:t>Continuous base-load consumption</w:t>
            </w:r>
          </w:p>
        </w:tc>
        <w:tc>
          <w:tcPr>
            <w:tcW w:w="2900" w:type="dxa"/>
            <w:tcBorders/>
            <w:tcMar>
              <w:top w:w="60" w:type="dxa"/>
              <w:left w:w="80" w:type="dxa"/>
              <w:bottom w:w="60" w:type="dxa"/>
              <w:right w:w="80" w:type="dxa"/>
            </w:tcMar>
            <w:vAlign w:val="center"/>
          </w:tcPr>
          <w:p w14:paraId="19EF5B47">
            <w:pPr>
              <w:pStyle w:val="style0"/>
              <w:spacing w:after="40" w:lineRule="auto" w:line="240"/>
              <w:jc w:val="left"/>
              <w:rPr/>
            </w:pPr>
            <w:r>
              <w:rPr>
                <w:rFonts w:ascii="Times New Roman" w:cs="Times New Roman" w:eastAsia="Times New Roman" w:hAnsi="Times New Roman"/>
                <w:b w:val="false"/>
                <w:bCs w:val="false"/>
                <w:sz w:val="19"/>
                <w:szCs w:val="19"/>
              </w:rPr>
              <w:t>Efficient compressors, door seals, controls, maintenance</w:t>
            </w:r>
          </w:p>
        </w:tc>
      </w:tr>
      <w:tr w14:paraId="14F86B16">
        <w:tblPrEx/>
        <w:trPr/>
        <w:tc>
          <w:tcPr>
            <w:tcW w:w="1600" w:type="dxa"/>
            <w:tcBorders/>
            <w:tcMar>
              <w:top w:w="60" w:type="dxa"/>
              <w:left w:w="80" w:type="dxa"/>
              <w:bottom w:w="60" w:type="dxa"/>
              <w:right w:w="80" w:type="dxa"/>
            </w:tcMar>
            <w:vAlign w:val="center"/>
          </w:tcPr>
          <w:p w14:paraId="803E63F4">
            <w:pPr>
              <w:pStyle w:val="style0"/>
              <w:spacing w:after="40" w:lineRule="auto" w:line="240"/>
              <w:jc w:val="left"/>
              <w:rPr/>
            </w:pPr>
            <w:r>
              <w:rPr>
                <w:rFonts w:ascii="Times New Roman" w:cs="Times New Roman" w:eastAsia="Times New Roman" w:hAnsi="Times New Roman"/>
                <w:b w:val="false"/>
                <w:bCs w:val="false"/>
                <w:sz w:val="19"/>
                <w:szCs w:val="19"/>
              </w:rPr>
              <w:t>Other loads</w:t>
            </w:r>
          </w:p>
        </w:tc>
        <w:tc>
          <w:tcPr>
            <w:tcW w:w="2400" w:type="dxa"/>
            <w:tcBorders/>
            <w:tcMar>
              <w:top w:w="60" w:type="dxa"/>
              <w:left w:w="80" w:type="dxa"/>
              <w:bottom w:w="60" w:type="dxa"/>
              <w:right w:w="80" w:type="dxa"/>
            </w:tcMar>
            <w:vAlign w:val="center"/>
          </w:tcPr>
          <w:p w14:paraId="08351951">
            <w:pPr>
              <w:pStyle w:val="style0"/>
              <w:spacing w:after="40" w:lineRule="auto" w:line="240"/>
              <w:jc w:val="left"/>
              <w:rPr/>
            </w:pPr>
            <w:r>
              <w:rPr>
                <w:rFonts w:ascii="Times New Roman" w:cs="Times New Roman" w:eastAsia="Times New Roman" w:hAnsi="Times New Roman"/>
                <w:b w:val="false"/>
                <w:bCs w:val="false"/>
                <w:sz w:val="19"/>
                <w:szCs w:val="19"/>
              </w:rPr>
              <w:t>Elevators, pumps, ICT, entertainment and security systems</w:t>
            </w:r>
          </w:p>
        </w:tc>
        <w:tc>
          <w:tcPr>
            <w:tcW w:w="2300" w:type="dxa"/>
            <w:tcBorders/>
            <w:tcMar>
              <w:top w:w="60" w:type="dxa"/>
              <w:left w:w="80" w:type="dxa"/>
              <w:bottom w:w="60" w:type="dxa"/>
              <w:right w:w="80" w:type="dxa"/>
            </w:tcMar>
            <w:vAlign w:val="center"/>
          </w:tcPr>
          <w:p w14:paraId="E3CD0C39">
            <w:pPr>
              <w:pStyle w:val="style0"/>
              <w:spacing w:after="40" w:lineRule="auto" w:line="240"/>
              <w:jc w:val="left"/>
              <w:rPr/>
            </w:pPr>
            <w:r>
              <w:rPr>
                <w:rFonts w:ascii="Times New Roman" w:cs="Times New Roman" w:eastAsia="Times New Roman" w:hAnsi="Times New Roman"/>
                <w:b w:val="false"/>
                <w:bCs w:val="false"/>
                <w:sz w:val="19"/>
                <w:szCs w:val="19"/>
              </w:rPr>
              <w:t>Hidden energy wastage when unmanaged</w:t>
            </w:r>
          </w:p>
        </w:tc>
        <w:tc>
          <w:tcPr>
            <w:tcW w:w="2900" w:type="dxa"/>
            <w:tcBorders/>
            <w:tcMar>
              <w:top w:w="60" w:type="dxa"/>
              <w:left w:w="80" w:type="dxa"/>
              <w:bottom w:w="60" w:type="dxa"/>
              <w:right w:w="80" w:type="dxa"/>
            </w:tcMar>
            <w:vAlign w:val="center"/>
          </w:tcPr>
          <w:p w14:paraId="26923899">
            <w:pPr>
              <w:pStyle w:val="style0"/>
              <w:spacing w:after="40" w:lineRule="auto" w:line="240"/>
              <w:jc w:val="left"/>
              <w:rPr/>
            </w:pPr>
            <w:r>
              <w:rPr>
                <w:rFonts w:ascii="Times New Roman" w:cs="Times New Roman" w:eastAsia="Times New Roman" w:hAnsi="Times New Roman"/>
                <w:b w:val="false"/>
                <w:bCs w:val="false"/>
                <w:sz w:val="19"/>
                <w:szCs w:val="19"/>
              </w:rPr>
              <w:t>Smart metering, shutdown routines, power-factor improvement</w:t>
            </w:r>
          </w:p>
        </w:tc>
      </w:tr>
    </w:tbl>
    <w:p w14:paraId="5DB0434A">
      <w:pPr>
        <w:pStyle w:val="style0"/>
        <w:spacing w:after="200"/>
        <w:rPr/>
      </w:pPr>
    </w:p>
    <w:p w14:paraId="73EE42AC">
      <w:pPr>
        <w:pStyle w:val="style0"/>
        <w:spacing w:before="180" w:after="100" w:lineRule="auto" w:line="480"/>
        <w:rPr/>
      </w:pPr>
      <w:r>
        <w:rPr>
          <w:rFonts w:ascii="Times New Roman" w:cs="Times New Roman" w:eastAsia="Times New Roman" w:hAnsi="Times New Roman"/>
          <w:b/>
          <w:bCs/>
          <w:i/>
          <w:iCs/>
          <w:sz w:val="24"/>
          <w:szCs w:val="24"/>
        </w:rPr>
        <w:t>Retrofit Strategies and Expected Performance</w:t>
      </w:r>
    </w:p>
    <w:p w14:paraId="C853DF53">
      <w:pPr>
        <w:pStyle w:val="style0"/>
        <w:spacing w:after="120" w:lineRule="auto" w:line="480"/>
        <w:jc w:val="both"/>
        <w:rPr/>
      </w:pPr>
      <w:r>
        <w:rPr>
          <w:rFonts w:ascii="Times New Roman" w:cs="Times New Roman" w:eastAsia="Times New Roman" w:hAnsi="Times New Roman"/>
          <w:sz w:val="24"/>
          <w:szCs w:val="24"/>
        </w:rPr>
        <w:t>The most effective approach for Nigerian hotels is not a single technology but a staged retrofit package. Low</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cost interventions should be implemented first because they create quick savings and build confidence. Medium</w:t>
      </w:r>
      <w:r>
        <w:rPr>
          <w:rFonts w:ascii="Times New Roman" w:cs="Times New Roman" w:eastAsia="Times New Roman" w:hAnsi="Times New Roman"/>
          <w:sz w:val="24"/>
          <w:szCs w:val="24"/>
          <w:lang w:val="en-US"/>
        </w:rPr>
        <w:t xml:space="preserve"> c</w:t>
      </w:r>
      <w:r>
        <w:rPr>
          <w:rFonts w:ascii="Times New Roman" w:cs="Times New Roman" w:eastAsia="Times New Roman" w:hAnsi="Times New Roman"/>
          <w:sz w:val="24"/>
          <w:szCs w:val="24"/>
        </w:rPr>
        <w:t>ost system upgrades should follow after an energy audit. Capital</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intensive renewable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energy systems should be sized after efficiency improvements so that the hotel does not overspend on oversized solar or battery systems.</w:t>
      </w:r>
    </w:p>
    <w:p w14:paraId="C7088773">
      <w:pPr>
        <w:pStyle w:val="style0"/>
        <w:spacing w:after="80" w:lineRule="auto" w:line="240"/>
        <w:jc w:val="both"/>
        <w:rPr/>
      </w:pPr>
      <w:r>
        <w:rPr>
          <w:rFonts w:ascii="Times New Roman" w:cs="Times New Roman" w:eastAsia="Times New Roman" w:hAnsi="Times New Roman"/>
          <w:b/>
          <w:bCs/>
          <w:sz w:val="24"/>
          <w:szCs w:val="24"/>
        </w:rPr>
        <w:t>Table 2: Retrofit strategies and indicative performance ranges for Nigerian hotels.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100"/>
        <w:gridCol w:w="2100"/>
        <w:gridCol w:w="2100"/>
        <w:gridCol w:w="1500"/>
        <w:gridCol w:w="1400"/>
      </w:tblGrid>
      <w:tr w14:paraId="CCB5CF80">
        <w:trPr>
          <w:tblHeader/>
        </w:trPr>
        <w:tc>
          <w:tcPr>
            <w:tcW w:w="2100" w:type="dxa"/>
            <w:tcBorders/>
            <w:shd w:val="clear" w:color="auto" w:fill="d9e2d9"/>
            <w:tcMar>
              <w:top w:w="60" w:type="dxa"/>
              <w:left w:w="80" w:type="dxa"/>
              <w:bottom w:w="60" w:type="dxa"/>
              <w:right w:w="80" w:type="dxa"/>
            </w:tcMar>
            <w:vAlign w:val="center"/>
          </w:tcPr>
          <w:p w14:paraId="2FF7BBAB">
            <w:pPr>
              <w:pStyle w:val="style0"/>
              <w:spacing w:after="40" w:lineRule="auto" w:line="240"/>
              <w:jc w:val="center"/>
              <w:rPr/>
            </w:pPr>
            <w:r>
              <w:rPr>
                <w:rFonts w:ascii="Times New Roman" w:cs="Times New Roman" w:eastAsia="Times New Roman" w:hAnsi="Times New Roman"/>
                <w:b/>
                <w:bCs/>
                <w:sz w:val="19"/>
                <w:szCs w:val="19"/>
              </w:rPr>
              <w:t>Retrofit measure</w:t>
            </w:r>
          </w:p>
        </w:tc>
        <w:tc>
          <w:tcPr>
            <w:tcW w:w="2100" w:type="dxa"/>
            <w:tcBorders/>
            <w:shd w:val="clear" w:color="auto" w:fill="d9e2d9"/>
            <w:tcMar>
              <w:top w:w="60" w:type="dxa"/>
              <w:left w:w="80" w:type="dxa"/>
              <w:bottom w:w="60" w:type="dxa"/>
              <w:right w:w="80" w:type="dxa"/>
            </w:tcMar>
            <w:vAlign w:val="center"/>
          </w:tcPr>
          <w:p w14:paraId="0264397B">
            <w:pPr>
              <w:pStyle w:val="style0"/>
              <w:spacing w:after="40" w:lineRule="auto" w:line="240"/>
              <w:jc w:val="center"/>
              <w:rPr/>
            </w:pPr>
            <w:r>
              <w:rPr>
                <w:rFonts w:ascii="Times New Roman" w:cs="Times New Roman" w:eastAsia="Times New Roman" w:hAnsi="Times New Roman"/>
                <w:b/>
                <w:bCs/>
                <w:sz w:val="19"/>
                <w:szCs w:val="19"/>
              </w:rPr>
              <w:t>Main application</w:t>
            </w:r>
          </w:p>
        </w:tc>
        <w:tc>
          <w:tcPr>
            <w:tcW w:w="2100" w:type="dxa"/>
            <w:tcBorders/>
            <w:shd w:val="clear" w:color="auto" w:fill="d9e2d9"/>
            <w:tcMar>
              <w:top w:w="60" w:type="dxa"/>
              <w:left w:w="80" w:type="dxa"/>
              <w:bottom w:w="60" w:type="dxa"/>
              <w:right w:w="80" w:type="dxa"/>
            </w:tcMar>
            <w:vAlign w:val="center"/>
          </w:tcPr>
          <w:p w14:paraId="2367A263">
            <w:pPr>
              <w:pStyle w:val="style0"/>
              <w:spacing w:after="40" w:lineRule="auto" w:line="240"/>
              <w:jc w:val="center"/>
              <w:rPr/>
            </w:pPr>
            <w:r>
              <w:rPr>
                <w:rFonts w:ascii="Times New Roman" w:cs="Times New Roman" w:eastAsia="Times New Roman" w:hAnsi="Times New Roman"/>
                <w:b/>
                <w:bCs/>
                <w:sz w:val="19"/>
                <w:szCs w:val="19"/>
              </w:rPr>
              <w:t>Indicative saving potential</w:t>
            </w:r>
          </w:p>
        </w:tc>
        <w:tc>
          <w:tcPr>
            <w:tcW w:w="1500" w:type="dxa"/>
            <w:tcBorders/>
            <w:shd w:val="clear" w:color="auto" w:fill="d9e2d9"/>
            <w:tcMar>
              <w:top w:w="60" w:type="dxa"/>
              <w:left w:w="80" w:type="dxa"/>
              <w:bottom w:w="60" w:type="dxa"/>
              <w:right w:w="80" w:type="dxa"/>
            </w:tcMar>
            <w:vAlign w:val="center"/>
          </w:tcPr>
          <w:p w14:paraId="35BD1B33">
            <w:pPr>
              <w:pStyle w:val="style0"/>
              <w:spacing w:after="40" w:lineRule="auto" w:line="240"/>
              <w:jc w:val="center"/>
              <w:rPr/>
            </w:pPr>
            <w:r>
              <w:rPr>
                <w:rFonts w:ascii="Times New Roman" w:cs="Times New Roman" w:eastAsia="Times New Roman" w:hAnsi="Times New Roman"/>
                <w:b/>
                <w:bCs/>
                <w:sz w:val="19"/>
                <w:szCs w:val="19"/>
              </w:rPr>
              <w:t>Relative cost</w:t>
            </w:r>
          </w:p>
        </w:tc>
        <w:tc>
          <w:tcPr>
            <w:tcW w:w="1400" w:type="dxa"/>
            <w:tcBorders/>
            <w:shd w:val="clear" w:color="auto" w:fill="d9e2d9"/>
            <w:tcMar>
              <w:top w:w="60" w:type="dxa"/>
              <w:left w:w="80" w:type="dxa"/>
              <w:bottom w:w="60" w:type="dxa"/>
              <w:right w:w="80" w:type="dxa"/>
            </w:tcMar>
            <w:vAlign w:val="center"/>
          </w:tcPr>
          <w:p w14:paraId="C8EC3C9D">
            <w:pPr>
              <w:pStyle w:val="style0"/>
              <w:spacing w:after="40" w:lineRule="auto" w:line="240"/>
              <w:jc w:val="center"/>
              <w:rPr/>
            </w:pPr>
            <w:r>
              <w:rPr>
                <w:rFonts w:ascii="Times New Roman" w:cs="Times New Roman" w:eastAsia="Times New Roman" w:hAnsi="Times New Roman"/>
                <w:b/>
                <w:bCs/>
                <w:sz w:val="19"/>
                <w:szCs w:val="19"/>
              </w:rPr>
              <w:t>Priority</w:t>
            </w:r>
          </w:p>
        </w:tc>
      </w:tr>
      <w:tr w14:paraId="9EF62FEC">
        <w:tblPrEx/>
        <w:trPr/>
        <w:tc>
          <w:tcPr>
            <w:tcW w:w="2100" w:type="dxa"/>
            <w:tcBorders/>
            <w:tcMar>
              <w:top w:w="60" w:type="dxa"/>
              <w:left w:w="80" w:type="dxa"/>
              <w:bottom w:w="60" w:type="dxa"/>
              <w:right w:w="80" w:type="dxa"/>
            </w:tcMar>
            <w:vAlign w:val="center"/>
          </w:tcPr>
          <w:p w14:paraId="0C37CBB4">
            <w:pPr>
              <w:pStyle w:val="style0"/>
              <w:spacing w:after="40" w:lineRule="auto" w:line="240"/>
              <w:jc w:val="left"/>
              <w:rPr/>
            </w:pPr>
            <w:r>
              <w:rPr>
                <w:rFonts w:ascii="Times New Roman" w:cs="Times New Roman" w:eastAsia="Times New Roman" w:hAnsi="Times New Roman"/>
                <w:b w:val="false"/>
                <w:bCs w:val="false"/>
                <w:sz w:val="19"/>
                <w:szCs w:val="19"/>
              </w:rPr>
              <w:t>LED lighting upgrade</w:t>
            </w:r>
          </w:p>
        </w:tc>
        <w:tc>
          <w:tcPr>
            <w:tcW w:w="2100" w:type="dxa"/>
            <w:tcBorders/>
            <w:tcMar>
              <w:top w:w="60" w:type="dxa"/>
              <w:left w:w="80" w:type="dxa"/>
              <w:bottom w:w="60" w:type="dxa"/>
              <w:right w:w="80" w:type="dxa"/>
            </w:tcMar>
            <w:vAlign w:val="center"/>
          </w:tcPr>
          <w:p w14:paraId="6AADDA94">
            <w:pPr>
              <w:pStyle w:val="style0"/>
              <w:spacing w:after="40" w:lineRule="auto" w:line="240"/>
              <w:jc w:val="left"/>
              <w:rPr/>
            </w:pPr>
            <w:r>
              <w:rPr>
                <w:rFonts w:ascii="Times New Roman" w:cs="Times New Roman" w:eastAsia="Times New Roman" w:hAnsi="Times New Roman"/>
                <w:b w:val="false"/>
                <w:bCs w:val="false"/>
                <w:sz w:val="19"/>
                <w:szCs w:val="19"/>
              </w:rPr>
              <w:t>Guest rooms, corridors, lobbies, offices, outdoor areas</w:t>
            </w:r>
          </w:p>
        </w:tc>
        <w:tc>
          <w:tcPr>
            <w:tcW w:w="2100" w:type="dxa"/>
            <w:tcBorders/>
            <w:tcMar>
              <w:top w:w="60" w:type="dxa"/>
              <w:left w:w="80" w:type="dxa"/>
              <w:bottom w:w="60" w:type="dxa"/>
              <w:right w:w="80" w:type="dxa"/>
            </w:tcMar>
            <w:vAlign w:val="center"/>
          </w:tcPr>
          <w:p w14:paraId="19AEE9C8">
            <w:pPr>
              <w:pStyle w:val="style0"/>
              <w:spacing w:after="40" w:lineRule="auto" w:line="240"/>
              <w:jc w:val="left"/>
              <w:rPr/>
            </w:pPr>
            <w:r>
              <w:rPr>
                <w:rFonts w:ascii="Times New Roman" w:cs="Times New Roman" w:eastAsia="Times New Roman" w:hAnsi="Times New Roman"/>
                <w:b w:val="false"/>
                <w:bCs w:val="false"/>
                <w:sz w:val="19"/>
                <w:szCs w:val="19"/>
              </w:rPr>
              <w:t>50-80% of lighting energy</w:t>
            </w:r>
          </w:p>
        </w:tc>
        <w:tc>
          <w:tcPr>
            <w:tcW w:w="1500" w:type="dxa"/>
            <w:tcBorders/>
            <w:tcMar>
              <w:top w:w="60" w:type="dxa"/>
              <w:left w:w="80" w:type="dxa"/>
              <w:bottom w:w="60" w:type="dxa"/>
              <w:right w:w="80" w:type="dxa"/>
            </w:tcMar>
            <w:vAlign w:val="center"/>
          </w:tcPr>
          <w:p w14:paraId="E38A3C9D">
            <w:pPr>
              <w:pStyle w:val="style0"/>
              <w:spacing w:after="40" w:lineRule="auto" w:line="240"/>
              <w:jc w:val="left"/>
              <w:rPr/>
            </w:pPr>
            <w:r>
              <w:rPr>
                <w:rFonts w:ascii="Times New Roman" w:cs="Times New Roman" w:eastAsia="Times New Roman" w:hAnsi="Times New Roman"/>
                <w:b w:val="false"/>
                <w:bCs w:val="false"/>
                <w:sz w:val="19"/>
                <w:szCs w:val="19"/>
              </w:rPr>
              <w:t>Low-medium</w:t>
            </w:r>
          </w:p>
        </w:tc>
        <w:tc>
          <w:tcPr>
            <w:tcW w:w="1400" w:type="dxa"/>
            <w:tcBorders/>
            <w:tcMar>
              <w:top w:w="60" w:type="dxa"/>
              <w:left w:w="80" w:type="dxa"/>
              <w:bottom w:w="60" w:type="dxa"/>
              <w:right w:w="80" w:type="dxa"/>
            </w:tcMar>
            <w:vAlign w:val="center"/>
          </w:tcPr>
          <w:p w14:paraId="B5BA51B2">
            <w:pPr>
              <w:pStyle w:val="style0"/>
              <w:spacing w:after="40" w:lineRule="auto" w:line="240"/>
              <w:jc w:val="left"/>
              <w:rPr/>
            </w:pPr>
            <w:r>
              <w:rPr>
                <w:rFonts w:ascii="Times New Roman" w:cs="Times New Roman" w:eastAsia="Times New Roman" w:hAnsi="Times New Roman"/>
                <w:b w:val="false"/>
                <w:bCs w:val="false"/>
                <w:sz w:val="19"/>
                <w:szCs w:val="19"/>
              </w:rPr>
              <w:t>Immediate</w:t>
            </w:r>
          </w:p>
        </w:tc>
      </w:tr>
      <w:tr w14:paraId="F4969A94">
        <w:tblPrEx/>
        <w:trPr/>
        <w:tc>
          <w:tcPr>
            <w:tcW w:w="2100" w:type="dxa"/>
            <w:tcBorders/>
            <w:tcMar>
              <w:top w:w="60" w:type="dxa"/>
              <w:left w:w="80" w:type="dxa"/>
              <w:bottom w:w="60" w:type="dxa"/>
              <w:right w:w="80" w:type="dxa"/>
            </w:tcMar>
            <w:vAlign w:val="center"/>
          </w:tcPr>
          <w:p w14:paraId="0BB3A65D">
            <w:pPr>
              <w:pStyle w:val="style0"/>
              <w:spacing w:after="40" w:lineRule="auto" w:line="240"/>
              <w:jc w:val="left"/>
              <w:rPr/>
            </w:pPr>
            <w:r>
              <w:rPr>
                <w:rFonts w:ascii="Times New Roman" w:cs="Times New Roman" w:eastAsia="Times New Roman" w:hAnsi="Times New Roman"/>
                <w:b w:val="false"/>
                <w:bCs w:val="false"/>
                <w:sz w:val="19"/>
                <w:szCs w:val="19"/>
              </w:rPr>
              <w:t>Occupancy sensors / key-card controls</w:t>
            </w:r>
          </w:p>
        </w:tc>
        <w:tc>
          <w:tcPr>
            <w:tcW w:w="2100" w:type="dxa"/>
            <w:tcBorders/>
            <w:tcMar>
              <w:top w:w="60" w:type="dxa"/>
              <w:left w:w="80" w:type="dxa"/>
              <w:bottom w:w="60" w:type="dxa"/>
              <w:right w:w="80" w:type="dxa"/>
            </w:tcMar>
            <w:vAlign w:val="center"/>
          </w:tcPr>
          <w:p w14:paraId="C9987487">
            <w:pPr>
              <w:pStyle w:val="style0"/>
              <w:spacing w:after="40" w:lineRule="auto" w:line="240"/>
              <w:jc w:val="left"/>
              <w:rPr/>
            </w:pPr>
            <w:r>
              <w:rPr>
                <w:rFonts w:ascii="Times New Roman" w:cs="Times New Roman" w:eastAsia="Times New Roman" w:hAnsi="Times New Roman"/>
                <w:b w:val="false"/>
                <w:bCs w:val="false"/>
                <w:sz w:val="19"/>
                <w:szCs w:val="19"/>
              </w:rPr>
              <w:t>Rooms, corridors, toilets, service spaces</w:t>
            </w:r>
          </w:p>
        </w:tc>
        <w:tc>
          <w:tcPr>
            <w:tcW w:w="2100" w:type="dxa"/>
            <w:tcBorders/>
            <w:tcMar>
              <w:top w:w="60" w:type="dxa"/>
              <w:left w:w="80" w:type="dxa"/>
              <w:bottom w:w="60" w:type="dxa"/>
              <w:right w:w="80" w:type="dxa"/>
            </w:tcMar>
            <w:vAlign w:val="center"/>
          </w:tcPr>
          <w:p w14:paraId="649F2512">
            <w:pPr>
              <w:pStyle w:val="style0"/>
              <w:spacing w:after="40" w:lineRule="auto" w:line="240"/>
              <w:jc w:val="left"/>
              <w:rPr/>
            </w:pPr>
            <w:r>
              <w:rPr>
                <w:rFonts w:ascii="Times New Roman" w:cs="Times New Roman" w:eastAsia="Times New Roman" w:hAnsi="Times New Roman"/>
                <w:b w:val="false"/>
                <w:bCs w:val="false"/>
                <w:sz w:val="19"/>
                <w:szCs w:val="19"/>
              </w:rPr>
              <w:t>10-25% room-level savings</w:t>
            </w:r>
          </w:p>
        </w:tc>
        <w:tc>
          <w:tcPr>
            <w:tcW w:w="1500" w:type="dxa"/>
            <w:tcBorders/>
            <w:tcMar>
              <w:top w:w="60" w:type="dxa"/>
              <w:left w:w="80" w:type="dxa"/>
              <w:bottom w:w="60" w:type="dxa"/>
              <w:right w:w="80" w:type="dxa"/>
            </w:tcMar>
            <w:vAlign w:val="center"/>
          </w:tcPr>
          <w:p w14:paraId="A936A969">
            <w:pPr>
              <w:pStyle w:val="style0"/>
              <w:spacing w:after="40" w:lineRule="auto" w:line="240"/>
              <w:jc w:val="left"/>
              <w:rPr/>
            </w:pPr>
            <w:r>
              <w:rPr>
                <w:rFonts w:ascii="Times New Roman" w:cs="Times New Roman" w:eastAsia="Times New Roman" w:hAnsi="Times New Roman"/>
                <w:b w:val="false"/>
                <w:bCs w:val="false"/>
                <w:sz w:val="19"/>
                <w:szCs w:val="19"/>
              </w:rPr>
              <w:t>Low-medium</w:t>
            </w:r>
          </w:p>
        </w:tc>
        <w:tc>
          <w:tcPr>
            <w:tcW w:w="1400" w:type="dxa"/>
            <w:tcBorders/>
            <w:tcMar>
              <w:top w:w="60" w:type="dxa"/>
              <w:left w:w="80" w:type="dxa"/>
              <w:bottom w:w="60" w:type="dxa"/>
              <w:right w:w="80" w:type="dxa"/>
            </w:tcMar>
            <w:vAlign w:val="center"/>
          </w:tcPr>
          <w:p w14:paraId="89E473F3">
            <w:pPr>
              <w:pStyle w:val="style0"/>
              <w:spacing w:after="40" w:lineRule="auto" w:line="240"/>
              <w:jc w:val="left"/>
              <w:rPr/>
            </w:pPr>
            <w:r>
              <w:rPr>
                <w:rFonts w:ascii="Times New Roman" w:cs="Times New Roman" w:eastAsia="Times New Roman" w:hAnsi="Times New Roman"/>
                <w:b w:val="false"/>
                <w:bCs w:val="false"/>
                <w:sz w:val="19"/>
                <w:szCs w:val="19"/>
              </w:rPr>
              <w:t>Immediate</w:t>
            </w:r>
          </w:p>
        </w:tc>
      </w:tr>
      <w:tr w14:paraId="C3BA9CDE">
        <w:tblPrEx/>
        <w:trPr/>
        <w:tc>
          <w:tcPr>
            <w:tcW w:w="2100" w:type="dxa"/>
            <w:tcBorders/>
            <w:tcMar>
              <w:top w:w="60" w:type="dxa"/>
              <w:left w:w="80" w:type="dxa"/>
              <w:bottom w:w="60" w:type="dxa"/>
              <w:right w:w="80" w:type="dxa"/>
            </w:tcMar>
            <w:vAlign w:val="center"/>
          </w:tcPr>
          <w:p w14:paraId="C5BEFC60">
            <w:pPr>
              <w:pStyle w:val="style0"/>
              <w:spacing w:after="40" w:lineRule="auto" w:line="240"/>
              <w:jc w:val="left"/>
              <w:rPr/>
            </w:pPr>
            <w:r>
              <w:rPr>
                <w:rFonts w:ascii="Times New Roman" w:cs="Times New Roman" w:eastAsia="Times New Roman" w:hAnsi="Times New Roman"/>
                <w:b w:val="false"/>
                <w:bCs w:val="false"/>
                <w:sz w:val="19"/>
                <w:szCs w:val="19"/>
              </w:rPr>
              <w:t>HVAC optimisation</w:t>
            </w:r>
          </w:p>
        </w:tc>
        <w:tc>
          <w:tcPr>
            <w:tcW w:w="2100" w:type="dxa"/>
            <w:tcBorders/>
            <w:tcMar>
              <w:top w:w="60" w:type="dxa"/>
              <w:left w:w="80" w:type="dxa"/>
              <w:bottom w:w="60" w:type="dxa"/>
              <w:right w:w="80" w:type="dxa"/>
            </w:tcMar>
            <w:vAlign w:val="center"/>
          </w:tcPr>
          <w:p w14:paraId="FF256C46">
            <w:pPr>
              <w:pStyle w:val="style0"/>
              <w:spacing w:after="40" w:lineRule="auto" w:line="240"/>
              <w:jc w:val="left"/>
              <w:rPr/>
            </w:pPr>
            <w:r>
              <w:rPr>
                <w:rFonts w:ascii="Times New Roman" w:cs="Times New Roman" w:eastAsia="Times New Roman" w:hAnsi="Times New Roman"/>
                <w:b w:val="false"/>
                <w:bCs w:val="false"/>
                <w:sz w:val="19"/>
                <w:szCs w:val="19"/>
              </w:rPr>
              <w:t>Chillers, split ACs, thermostats, ventilation</w:t>
            </w:r>
          </w:p>
        </w:tc>
        <w:tc>
          <w:tcPr>
            <w:tcW w:w="2100" w:type="dxa"/>
            <w:tcBorders/>
            <w:tcMar>
              <w:top w:w="60" w:type="dxa"/>
              <w:left w:w="80" w:type="dxa"/>
              <w:bottom w:w="60" w:type="dxa"/>
              <w:right w:w="80" w:type="dxa"/>
            </w:tcMar>
            <w:vAlign w:val="center"/>
          </w:tcPr>
          <w:p w14:paraId="8DDC3C07">
            <w:pPr>
              <w:pStyle w:val="style0"/>
              <w:spacing w:after="40" w:lineRule="auto" w:line="240"/>
              <w:jc w:val="left"/>
              <w:rPr/>
            </w:pPr>
            <w:r>
              <w:rPr>
                <w:rFonts w:ascii="Times New Roman" w:cs="Times New Roman" w:eastAsia="Times New Roman" w:hAnsi="Times New Roman"/>
                <w:b w:val="false"/>
                <w:bCs w:val="false"/>
                <w:sz w:val="19"/>
                <w:szCs w:val="19"/>
              </w:rPr>
              <w:t>15-30% cooling energy savings</w:t>
            </w:r>
          </w:p>
        </w:tc>
        <w:tc>
          <w:tcPr>
            <w:tcW w:w="1500" w:type="dxa"/>
            <w:tcBorders/>
            <w:tcMar>
              <w:top w:w="60" w:type="dxa"/>
              <w:left w:w="80" w:type="dxa"/>
              <w:bottom w:w="60" w:type="dxa"/>
              <w:right w:w="80" w:type="dxa"/>
            </w:tcMar>
            <w:vAlign w:val="center"/>
          </w:tcPr>
          <w:p w14:paraId="B2F833DB">
            <w:pPr>
              <w:pStyle w:val="style0"/>
              <w:spacing w:after="40" w:lineRule="auto" w:line="240"/>
              <w:jc w:val="left"/>
              <w:rPr/>
            </w:pPr>
            <w:r>
              <w:rPr>
                <w:rFonts w:ascii="Times New Roman" w:cs="Times New Roman" w:eastAsia="Times New Roman" w:hAnsi="Times New Roman"/>
                <w:b w:val="false"/>
                <w:bCs w:val="false"/>
                <w:sz w:val="19"/>
                <w:szCs w:val="19"/>
              </w:rPr>
              <w:t>Medium-high</w:t>
            </w:r>
          </w:p>
        </w:tc>
        <w:tc>
          <w:tcPr>
            <w:tcW w:w="1400" w:type="dxa"/>
            <w:tcBorders/>
            <w:tcMar>
              <w:top w:w="60" w:type="dxa"/>
              <w:left w:w="80" w:type="dxa"/>
              <w:bottom w:w="60" w:type="dxa"/>
              <w:right w:w="80" w:type="dxa"/>
            </w:tcMar>
            <w:vAlign w:val="center"/>
          </w:tcPr>
          <w:p w14:paraId="BBD09882">
            <w:pPr>
              <w:pStyle w:val="style0"/>
              <w:spacing w:after="40" w:lineRule="auto" w:line="240"/>
              <w:jc w:val="left"/>
              <w:rPr/>
            </w:pPr>
            <w:r>
              <w:rPr>
                <w:rFonts w:ascii="Times New Roman" w:cs="Times New Roman" w:eastAsia="Times New Roman" w:hAnsi="Times New Roman"/>
                <w:b w:val="false"/>
                <w:bCs w:val="false"/>
                <w:sz w:val="19"/>
                <w:szCs w:val="19"/>
              </w:rPr>
              <w:t>High</w:t>
            </w:r>
          </w:p>
        </w:tc>
      </w:tr>
      <w:tr w14:paraId="2E5409CD">
        <w:tblPrEx/>
        <w:trPr/>
        <w:tc>
          <w:tcPr>
            <w:tcW w:w="2100" w:type="dxa"/>
            <w:tcBorders/>
            <w:tcMar>
              <w:top w:w="60" w:type="dxa"/>
              <w:left w:w="80" w:type="dxa"/>
              <w:bottom w:w="60" w:type="dxa"/>
              <w:right w:w="80" w:type="dxa"/>
            </w:tcMar>
            <w:vAlign w:val="center"/>
          </w:tcPr>
          <w:p w14:paraId="7F411800">
            <w:pPr>
              <w:pStyle w:val="style0"/>
              <w:spacing w:after="40" w:lineRule="auto" w:line="240"/>
              <w:jc w:val="left"/>
              <w:rPr/>
            </w:pPr>
            <w:r>
              <w:rPr>
                <w:rFonts w:ascii="Times New Roman" w:cs="Times New Roman" w:eastAsia="Times New Roman" w:hAnsi="Times New Roman"/>
                <w:b w:val="false"/>
                <w:bCs w:val="false"/>
                <w:sz w:val="19"/>
                <w:szCs w:val="19"/>
              </w:rPr>
              <w:t>Building envelope improvement</w:t>
            </w:r>
          </w:p>
        </w:tc>
        <w:tc>
          <w:tcPr>
            <w:tcW w:w="2100" w:type="dxa"/>
            <w:tcBorders/>
            <w:tcMar>
              <w:top w:w="60" w:type="dxa"/>
              <w:left w:w="80" w:type="dxa"/>
              <w:bottom w:w="60" w:type="dxa"/>
              <w:right w:w="80" w:type="dxa"/>
            </w:tcMar>
            <w:vAlign w:val="center"/>
          </w:tcPr>
          <w:p w14:paraId="91EAFB7A">
            <w:pPr>
              <w:pStyle w:val="style0"/>
              <w:spacing w:after="40" w:lineRule="auto" w:line="240"/>
              <w:jc w:val="left"/>
              <w:rPr/>
            </w:pPr>
            <w:r>
              <w:rPr>
                <w:rFonts w:ascii="Times New Roman" w:cs="Times New Roman" w:eastAsia="Times New Roman" w:hAnsi="Times New Roman"/>
                <w:b w:val="false"/>
                <w:bCs w:val="false"/>
                <w:sz w:val="19"/>
                <w:szCs w:val="19"/>
              </w:rPr>
              <w:t>Roof, walls, glazing, doors, shading devices</w:t>
            </w:r>
          </w:p>
        </w:tc>
        <w:tc>
          <w:tcPr>
            <w:tcW w:w="2100" w:type="dxa"/>
            <w:tcBorders/>
            <w:tcMar>
              <w:top w:w="60" w:type="dxa"/>
              <w:left w:w="80" w:type="dxa"/>
              <w:bottom w:w="60" w:type="dxa"/>
              <w:right w:w="80" w:type="dxa"/>
            </w:tcMar>
            <w:vAlign w:val="center"/>
          </w:tcPr>
          <w:p w14:paraId="B37F7911">
            <w:pPr>
              <w:pStyle w:val="style0"/>
              <w:spacing w:after="40" w:lineRule="auto" w:line="240"/>
              <w:jc w:val="left"/>
              <w:rPr/>
            </w:pPr>
            <w:r>
              <w:rPr>
                <w:rFonts w:ascii="Times New Roman" w:cs="Times New Roman" w:eastAsia="Times New Roman" w:hAnsi="Times New Roman"/>
                <w:b w:val="false"/>
                <w:bCs w:val="false"/>
                <w:sz w:val="19"/>
                <w:szCs w:val="19"/>
              </w:rPr>
              <w:t>8-18% total energy savings</w:t>
            </w:r>
          </w:p>
        </w:tc>
        <w:tc>
          <w:tcPr>
            <w:tcW w:w="1500" w:type="dxa"/>
            <w:tcBorders/>
            <w:tcMar>
              <w:top w:w="60" w:type="dxa"/>
              <w:left w:w="80" w:type="dxa"/>
              <w:bottom w:w="60" w:type="dxa"/>
              <w:right w:w="80" w:type="dxa"/>
            </w:tcMar>
            <w:vAlign w:val="center"/>
          </w:tcPr>
          <w:p w14:paraId="D1D1CEB4">
            <w:pPr>
              <w:pStyle w:val="style0"/>
              <w:spacing w:after="40" w:lineRule="auto" w:line="240"/>
              <w:jc w:val="left"/>
              <w:rPr/>
            </w:pPr>
            <w:r>
              <w:rPr>
                <w:rFonts w:ascii="Times New Roman" w:cs="Times New Roman" w:eastAsia="Times New Roman" w:hAnsi="Times New Roman"/>
                <w:b w:val="false"/>
                <w:bCs w:val="false"/>
                <w:sz w:val="19"/>
                <w:szCs w:val="19"/>
              </w:rPr>
              <w:t>Medium</w:t>
            </w:r>
          </w:p>
        </w:tc>
        <w:tc>
          <w:tcPr>
            <w:tcW w:w="1400" w:type="dxa"/>
            <w:tcBorders/>
            <w:tcMar>
              <w:top w:w="60" w:type="dxa"/>
              <w:left w:w="80" w:type="dxa"/>
              <w:bottom w:w="60" w:type="dxa"/>
              <w:right w:w="80" w:type="dxa"/>
            </w:tcMar>
            <w:vAlign w:val="center"/>
          </w:tcPr>
          <w:p w14:paraId="4F77C53C">
            <w:pPr>
              <w:pStyle w:val="style0"/>
              <w:spacing w:after="40" w:lineRule="auto" w:line="240"/>
              <w:jc w:val="left"/>
              <w:rPr/>
            </w:pPr>
            <w:r>
              <w:rPr>
                <w:rFonts w:ascii="Times New Roman" w:cs="Times New Roman" w:eastAsia="Times New Roman" w:hAnsi="Times New Roman"/>
                <w:b w:val="false"/>
                <w:bCs w:val="false"/>
                <w:sz w:val="19"/>
                <w:szCs w:val="19"/>
              </w:rPr>
              <w:t>High in hot climates</w:t>
            </w:r>
          </w:p>
        </w:tc>
      </w:tr>
      <w:tr w14:paraId="39C9F821">
        <w:tblPrEx/>
        <w:trPr/>
        <w:tc>
          <w:tcPr>
            <w:tcW w:w="2100" w:type="dxa"/>
            <w:tcBorders/>
            <w:tcMar>
              <w:top w:w="60" w:type="dxa"/>
              <w:left w:w="80" w:type="dxa"/>
              <w:bottom w:w="60" w:type="dxa"/>
              <w:right w:w="80" w:type="dxa"/>
            </w:tcMar>
            <w:vAlign w:val="center"/>
          </w:tcPr>
          <w:p w14:paraId="E3002ED8">
            <w:pPr>
              <w:pStyle w:val="style0"/>
              <w:spacing w:after="40" w:lineRule="auto" w:line="240"/>
              <w:jc w:val="left"/>
              <w:rPr/>
            </w:pPr>
            <w:r>
              <w:rPr>
                <w:rFonts w:ascii="Times New Roman" w:cs="Times New Roman" w:eastAsia="Times New Roman" w:hAnsi="Times New Roman"/>
                <w:b w:val="false"/>
                <w:bCs w:val="false"/>
                <w:sz w:val="19"/>
                <w:szCs w:val="19"/>
              </w:rPr>
              <w:t>Smart energy management / BMS</w:t>
            </w:r>
          </w:p>
        </w:tc>
        <w:tc>
          <w:tcPr>
            <w:tcW w:w="2100" w:type="dxa"/>
            <w:tcBorders/>
            <w:tcMar>
              <w:top w:w="60" w:type="dxa"/>
              <w:left w:w="80" w:type="dxa"/>
              <w:bottom w:w="60" w:type="dxa"/>
              <w:right w:w="80" w:type="dxa"/>
            </w:tcMar>
            <w:vAlign w:val="center"/>
          </w:tcPr>
          <w:p w14:paraId="DA47E779">
            <w:pPr>
              <w:pStyle w:val="style0"/>
              <w:spacing w:after="40" w:lineRule="auto" w:line="240"/>
              <w:jc w:val="left"/>
              <w:rPr/>
            </w:pPr>
            <w:r>
              <w:rPr>
                <w:rFonts w:ascii="Times New Roman" w:cs="Times New Roman" w:eastAsia="Times New Roman" w:hAnsi="Times New Roman"/>
                <w:b w:val="false"/>
                <w:bCs w:val="false"/>
                <w:sz w:val="19"/>
                <w:szCs w:val="19"/>
              </w:rPr>
              <w:t>Metering, automated control, fault detection</w:t>
            </w:r>
          </w:p>
        </w:tc>
        <w:tc>
          <w:tcPr>
            <w:tcW w:w="2100" w:type="dxa"/>
            <w:tcBorders/>
            <w:tcMar>
              <w:top w:w="60" w:type="dxa"/>
              <w:left w:w="80" w:type="dxa"/>
              <w:bottom w:w="60" w:type="dxa"/>
              <w:right w:w="80" w:type="dxa"/>
            </w:tcMar>
            <w:vAlign w:val="center"/>
          </w:tcPr>
          <w:p w14:paraId="1D100B20">
            <w:pPr>
              <w:pStyle w:val="style0"/>
              <w:spacing w:after="40" w:lineRule="auto" w:line="240"/>
              <w:jc w:val="left"/>
              <w:rPr/>
            </w:pPr>
            <w:r>
              <w:rPr>
                <w:rFonts w:ascii="Times New Roman" w:cs="Times New Roman" w:eastAsia="Times New Roman" w:hAnsi="Times New Roman"/>
                <w:b w:val="false"/>
                <w:bCs w:val="false"/>
                <w:sz w:val="19"/>
                <w:szCs w:val="19"/>
              </w:rPr>
              <w:t>10-25% total savings where poorly controlled</w:t>
            </w:r>
          </w:p>
        </w:tc>
        <w:tc>
          <w:tcPr>
            <w:tcW w:w="1500" w:type="dxa"/>
            <w:tcBorders/>
            <w:tcMar>
              <w:top w:w="60" w:type="dxa"/>
              <w:left w:w="80" w:type="dxa"/>
              <w:bottom w:w="60" w:type="dxa"/>
              <w:right w:w="80" w:type="dxa"/>
            </w:tcMar>
            <w:vAlign w:val="center"/>
          </w:tcPr>
          <w:p w14:paraId="DA2A0C50">
            <w:pPr>
              <w:pStyle w:val="style0"/>
              <w:spacing w:after="40" w:lineRule="auto" w:line="240"/>
              <w:jc w:val="left"/>
              <w:rPr/>
            </w:pPr>
            <w:r>
              <w:rPr>
                <w:rFonts w:ascii="Times New Roman" w:cs="Times New Roman" w:eastAsia="Times New Roman" w:hAnsi="Times New Roman"/>
                <w:b w:val="false"/>
                <w:bCs w:val="false"/>
                <w:sz w:val="19"/>
                <w:szCs w:val="19"/>
              </w:rPr>
              <w:t>Medium-high</w:t>
            </w:r>
          </w:p>
        </w:tc>
        <w:tc>
          <w:tcPr>
            <w:tcW w:w="1400" w:type="dxa"/>
            <w:tcBorders/>
            <w:tcMar>
              <w:top w:w="60" w:type="dxa"/>
              <w:left w:w="80" w:type="dxa"/>
              <w:bottom w:w="60" w:type="dxa"/>
              <w:right w:w="80" w:type="dxa"/>
            </w:tcMar>
            <w:vAlign w:val="center"/>
          </w:tcPr>
          <w:p w14:paraId="E7DEBA22">
            <w:pPr>
              <w:pStyle w:val="style0"/>
              <w:spacing w:after="40" w:lineRule="auto" w:line="240"/>
              <w:jc w:val="left"/>
              <w:rPr/>
            </w:pPr>
            <w:r>
              <w:rPr>
                <w:rFonts w:ascii="Times New Roman" w:cs="Times New Roman" w:eastAsia="Times New Roman" w:hAnsi="Times New Roman"/>
                <w:b w:val="false"/>
                <w:bCs w:val="false"/>
                <w:sz w:val="19"/>
                <w:szCs w:val="19"/>
              </w:rPr>
              <w:t>Medium/large hotels</w:t>
            </w:r>
          </w:p>
        </w:tc>
      </w:tr>
      <w:tr w14:paraId="D5358139">
        <w:tblPrEx/>
        <w:trPr/>
        <w:tc>
          <w:tcPr>
            <w:tcW w:w="2100" w:type="dxa"/>
            <w:tcBorders/>
            <w:tcMar>
              <w:top w:w="60" w:type="dxa"/>
              <w:left w:w="80" w:type="dxa"/>
              <w:bottom w:w="60" w:type="dxa"/>
              <w:right w:w="80" w:type="dxa"/>
            </w:tcMar>
            <w:vAlign w:val="center"/>
          </w:tcPr>
          <w:p w14:paraId="F2498542">
            <w:pPr>
              <w:pStyle w:val="style0"/>
              <w:spacing w:after="40" w:lineRule="auto" w:line="240"/>
              <w:jc w:val="left"/>
              <w:rPr/>
            </w:pPr>
            <w:r>
              <w:rPr>
                <w:rFonts w:ascii="Times New Roman" w:cs="Times New Roman" w:eastAsia="Times New Roman" w:hAnsi="Times New Roman"/>
                <w:b w:val="false"/>
                <w:bCs w:val="false"/>
                <w:sz w:val="19"/>
                <w:szCs w:val="19"/>
              </w:rPr>
              <w:t>Solar PV and storage</w:t>
            </w:r>
          </w:p>
        </w:tc>
        <w:tc>
          <w:tcPr>
            <w:tcW w:w="2100" w:type="dxa"/>
            <w:tcBorders/>
            <w:tcMar>
              <w:top w:w="60" w:type="dxa"/>
              <w:left w:w="80" w:type="dxa"/>
              <w:bottom w:w="60" w:type="dxa"/>
              <w:right w:w="80" w:type="dxa"/>
            </w:tcMar>
            <w:vAlign w:val="center"/>
          </w:tcPr>
          <w:p w14:paraId="58B692CD">
            <w:pPr>
              <w:pStyle w:val="style0"/>
              <w:spacing w:after="40" w:lineRule="auto" w:line="240"/>
              <w:jc w:val="left"/>
              <w:rPr/>
            </w:pPr>
            <w:r>
              <w:rPr>
                <w:rFonts w:ascii="Times New Roman" w:cs="Times New Roman" w:eastAsia="Times New Roman" w:hAnsi="Times New Roman"/>
                <w:b w:val="false"/>
                <w:bCs w:val="false"/>
                <w:sz w:val="19"/>
                <w:szCs w:val="19"/>
              </w:rPr>
              <w:t>Electricity supply and generator displacement</w:t>
            </w:r>
          </w:p>
        </w:tc>
        <w:tc>
          <w:tcPr>
            <w:tcW w:w="2100" w:type="dxa"/>
            <w:tcBorders/>
            <w:tcMar>
              <w:top w:w="60" w:type="dxa"/>
              <w:left w:w="80" w:type="dxa"/>
              <w:bottom w:w="60" w:type="dxa"/>
              <w:right w:w="80" w:type="dxa"/>
            </w:tcMar>
            <w:vAlign w:val="center"/>
          </w:tcPr>
          <w:p w14:paraId="34203069">
            <w:pPr>
              <w:pStyle w:val="style0"/>
              <w:spacing w:after="40" w:lineRule="auto" w:line="240"/>
              <w:jc w:val="left"/>
              <w:rPr/>
            </w:pPr>
            <w:r>
              <w:rPr>
                <w:rFonts w:ascii="Times New Roman" w:cs="Times New Roman" w:eastAsia="Times New Roman" w:hAnsi="Times New Roman"/>
                <w:b w:val="false"/>
                <w:bCs w:val="false"/>
                <w:sz w:val="19"/>
                <w:szCs w:val="19"/>
              </w:rPr>
              <w:t>20-45% grid/diesel reduction depending on sizing</w:t>
            </w:r>
          </w:p>
        </w:tc>
        <w:tc>
          <w:tcPr>
            <w:tcW w:w="1500" w:type="dxa"/>
            <w:tcBorders/>
            <w:tcMar>
              <w:top w:w="60" w:type="dxa"/>
              <w:left w:w="80" w:type="dxa"/>
              <w:bottom w:w="60" w:type="dxa"/>
              <w:right w:w="80" w:type="dxa"/>
            </w:tcMar>
            <w:vAlign w:val="center"/>
          </w:tcPr>
          <w:p w14:paraId="4B66C3F2">
            <w:pPr>
              <w:pStyle w:val="style0"/>
              <w:spacing w:after="40" w:lineRule="auto" w:line="240"/>
              <w:jc w:val="left"/>
              <w:rPr/>
            </w:pPr>
            <w:r>
              <w:rPr>
                <w:rFonts w:ascii="Times New Roman" w:cs="Times New Roman" w:eastAsia="Times New Roman" w:hAnsi="Times New Roman"/>
                <w:b w:val="false"/>
                <w:bCs w:val="false"/>
                <w:sz w:val="19"/>
                <w:szCs w:val="19"/>
              </w:rPr>
              <w:t>High</w:t>
            </w:r>
          </w:p>
        </w:tc>
        <w:tc>
          <w:tcPr>
            <w:tcW w:w="1400" w:type="dxa"/>
            <w:tcBorders/>
            <w:tcMar>
              <w:top w:w="60" w:type="dxa"/>
              <w:left w:w="80" w:type="dxa"/>
              <w:bottom w:w="60" w:type="dxa"/>
              <w:right w:w="80" w:type="dxa"/>
            </w:tcMar>
            <w:vAlign w:val="center"/>
          </w:tcPr>
          <w:p w14:paraId="49411B46">
            <w:pPr>
              <w:pStyle w:val="style0"/>
              <w:spacing w:after="40" w:lineRule="auto" w:line="240"/>
              <w:jc w:val="left"/>
              <w:rPr/>
            </w:pPr>
            <w:r>
              <w:rPr>
                <w:rFonts w:ascii="Times New Roman" w:cs="Times New Roman" w:eastAsia="Times New Roman" w:hAnsi="Times New Roman"/>
                <w:b w:val="false"/>
                <w:bCs w:val="false"/>
                <w:sz w:val="19"/>
                <w:szCs w:val="19"/>
              </w:rPr>
              <w:t>After audit and demand reduction</w:t>
            </w:r>
          </w:p>
        </w:tc>
      </w:tr>
    </w:tbl>
    <w:p w14:paraId="9746FDE7">
      <w:pPr>
        <w:pStyle w:val="style0"/>
        <w:spacing w:after="200"/>
        <w:rPr/>
      </w:pPr>
    </w:p>
    <w:p w14:paraId="75D293A5">
      <w:pPr>
        <w:pStyle w:val="style0"/>
        <w:spacing w:before="180" w:after="100" w:lineRule="auto" w:line="480"/>
        <w:rPr/>
      </w:pPr>
      <w:r>
        <w:rPr>
          <w:rFonts w:ascii="Times New Roman" w:cs="Times New Roman" w:eastAsia="Times New Roman" w:hAnsi="Times New Roman"/>
          <w:b/>
          <w:bCs/>
          <w:i/>
          <w:iCs/>
          <w:sz w:val="24"/>
          <w:szCs w:val="24"/>
          <w:lang w:val="en-US"/>
        </w:rPr>
        <w:t>P</w:t>
      </w:r>
      <w:r>
        <w:rPr>
          <w:rFonts w:ascii="Times New Roman" w:cs="Times New Roman" w:eastAsia="Times New Roman" w:hAnsi="Times New Roman"/>
          <w:b/>
          <w:bCs/>
          <w:i/>
          <w:iCs/>
          <w:sz w:val="24"/>
          <w:szCs w:val="24"/>
        </w:rPr>
        <w:t>ractical Retrofit Data for Interpretation</w:t>
      </w:r>
    </w:p>
    <w:p w14:paraId="A14CABE8">
      <w:pPr>
        <w:pStyle w:val="style0"/>
        <w:spacing w:after="120" w:lineRule="auto" w:line="480"/>
        <w:jc w:val="both"/>
        <w:rPr/>
      </w:pPr>
      <w:r>
        <w:rPr>
          <w:rFonts w:ascii="Times New Roman" w:cs="Times New Roman" w:eastAsia="Times New Roman" w:hAnsi="Times New Roman"/>
          <w:sz w:val="24"/>
          <w:szCs w:val="24"/>
        </w:rPr>
        <w:t>Table 3 converts the retrofit discussion into a simple planning scenario. The baseline is an illustrative medium</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sized hotel energy index of 100 units, showing how staged interventions can progressively reduce consumption. The values are not universal measurements but a decision-support illustration for hotel owners and facility managers.</w:t>
      </w:r>
    </w:p>
    <w:p w14:paraId="A1C52AC4">
      <w:pPr>
        <w:pStyle w:val="style0"/>
        <w:spacing w:after="80" w:lineRule="auto" w:line="240"/>
        <w:jc w:val="both"/>
        <w:rPr/>
      </w:pPr>
      <w:r>
        <w:rPr>
          <w:rFonts w:ascii="Times New Roman" w:cs="Times New Roman" w:eastAsia="Times New Roman" w:hAnsi="Times New Roman"/>
          <w:b/>
          <w:bCs/>
          <w:sz w:val="24"/>
          <w:szCs w:val="24"/>
        </w:rPr>
        <w:t>Table 3: Illustrative staged retrofit impact for a medium-sized Nigerian hotel.</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700"/>
        <w:gridCol w:w="2500"/>
        <w:gridCol w:w="1700"/>
        <w:gridCol w:w="1700"/>
        <w:gridCol w:w="1600"/>
      </w:tblGrid>
      <w:tr w14:paraId="8D9FFDD5">
        <w:trPr>
          <w:tblHeader/>
        </w:trPr>
        <w:tc>
          <w:tcPr>
            <w:tcW w:w="1700" w:type="dxa"/>
            <w:tcBorders/>
            <w:shd w:val="clear" w:color="auto" w:fill="d9e2d9"/>
            <w:tcMar>
              <w:top w:w="60" w:type="dxa"/>
              <w:left w:w="80" w:type="dxa"/>
              <w:bottom w:w="60" w:type="dxa"/>
              <w:right w:w="80" w:type="dxa"/>
            </w:tcMar>
            <w:vAlign w:val="center"/>
          </w:tcPr>
          <w:p w14:paraId="A7CAF503">
            <w:pPr>
              <w:pStyle w:val="style0"/>
              <w:spacing w:after="40" w:lineRule="auto" w:line="240"/>
              <w:jc w:val="center"/>
              <w:rPr/>
            </w:pPr>
            <w:r>
              <w:rPr>
                <w:rFonts w:ascii="Times New Roman" w:cs="Times New Roman" w:eastAsia="Times New Roman" w:hAnsi="Times New Roman"/>
                <w:b/>
                <w:bCs/>
                <w:sz w:val="19"/>
                <w:szCs w:val="19"/>
              </w:rPr>
              <w:t>Scenario</w:t>
            </w:r>
          </w:p>
        </w:tc>
        <w:tc>
          <w:tcPr>
            <w:tcW w:w="2500" w:type="dxa"/>
            <w:tcBorders/>
            <w:shd w:val="clear" w:color="auto" w:fill="d9e2d9"/>
            <w:tcMar>
              <w:top w:w="60" w:type="dxa"/>
              <w:left w:w="80" w:type="dxa"/>
              <w:bottom w:w="60" w:type="dxa"/>
              <w:right w:w="80" w:type="dxa"/>
            </w:tcMar>
            <w:vAlign w:val="center"/>
          </w:tcPr>
          <w:p w14:paraId="0FA5C2D0">
            <w:pPr>
              <w:pStyle w:val="style0"/>
              <w:spacing w:after="40" w:lineRule="auto" w:line="240"/>
              <w:jc w:val="center"/>
              <w:rPr/>
            </w:pPr>
            <w:r>
              <w:rPr>
                <w:rFonts w:ascii="Times New Roman" w:cs="Times New Roman" w:eastAsia="Times New Roman" w:hAnsi="Times New Roman"/>
                <w:b/>
                <w:bCs/>
                <w:sz w:val="19"/>
                <w:szCs w:val="19"/>
              </w:rPr>
              <w:t>Retrofit package</w:t>
            </w:r>
          </w:p>
        </w:tc>
        <w:tc>
          <w:tcPr>
            <w:tcW w:w="1700" w:type="dxa"/>
            <w:tcBorders/>
            <w:shd w:val="clear" w:color="auto" w:fill="d9e2d9"/>
            <w:tcMar>
              <w:top w:w="60" w:type="dxa"/>
              <w:left w:w="80" w:type="dxa"/>
              <w:bottom w:w="60" w:type="dxa"/>
              <w:right w:w="80" w:type="dxa"/>
            </w:tcMar>
            <w:vAlign w:val="center"/>
          </w:tcPr>
          <w:p w14:paraId="673D88B7">
            <w:pPr>
              <w:pStyle w:val="style0"/>
              <w:spacing w:after="40" w:lineRule="auto" w:line="240"/>
              <w:jc w:val="center"/>
              <w:rPr/>
            </w:pPr>
            <w:r>
              <w:rPr>
                <w:rFonts w:ascii="Times New Roman" w:cs="Times New Roman" w:eastAsia="Times New Roman" w:hAnsi="Times New Roman"/>
                <w:b/>
                <w:bCs/>
                <w:sz w:val="19"/>
                <w:szCs w:val="19"/>
              </w:rPr>
              <w:t>Estimated energy index</w:t>
            </w:r>
          </w:p>
        </w:tc>
        <w:tc>
          <w:tcPr>
            <w:tcW w:w="1700" w:type="dxa"/>
            <w:tcBorders/>
            <w:shd w:val="clear" w:color="auto" w:fill="d9e2d9"/>
            <w:tcMar>
              <w:top w:w="60" w:type="dxa"/>
              <w:left w:w="80" w:type="dxa"/>
              <w:bottom w:w="60" w:type="dxa"/>
              <w:right w:w="80" w:type="dxa"/>
            </w:tcMar>
            <w:vAlign w:val="center"/>
          </w:tcPr>
          <w:p w14:paraId="80C9FAC3">
            <w:pPr>
              <w:pStyle w:val="style0"/>
              <w:spacing w:after="40" w:lineRule="auto" w:line="240"/>
              <w:jc w:val="center"/>
              <w:rPr/>
            </w:pPr>
            <w:r>
              <w:rPr>
                <w:rFonts w:ascii="Times New Roman" w:cs="Times New Roman" w:eastAsia="Times New Roman" w:hAnsi="Times New Roman"/>
                <w:b/>
                <w:bCs/>
                <w:sz w:val="19"/>
                <w:szCs w:val="19"/>
              </w:rPr>
              <w:t>Reduction from baseline</w:t>
            </w:r>
          </w:p>
        </w:tc>
        <w:tc>
          <w:tcPr>
            <w:tcW w:w="1600" w:type="dxa"/>
            <w:tcBorders/>
            <w:shd w:val="clear" w:color="auto" w:fill="d9e2d9"/>
            <w:tcMar>
              <w:top w:w="60" w:type="dxa"/>
              <w:left w:w="80" w:type="dxa"/>
              <w:bottom w:w="60" w:type="dxa"/>
              <w:right w:w="80" w:type="dxa"/>
            </w:tcMar>
            <w:vAlign w:val="center"/>
          </w:tcPr>
          <w:p w14:paraId="89FD8BA3">
            <w:pPr>
              <w:pStyle w:val="style0"/>
              <w:spacing w:after="40" w:lineRule="auto" w:line="240"/>
              <w:jc w:val="center"/>
              <w:rPr/>
            </w:pPr>
            <w:r>
              <w:rPr>
                <w:rFonts w:ascii="Times New Roman" w:cs="Times New Roman" w:eastAsia="Times New Roman" w:hAnsi="Times New Roman"/>
                <w:b/>
                <w:bCs/>
                <w:sz w:val="19"/>
                <w:szCs w:val="19"/>
              </w:rPr>
              <w:t>Interpretation</w:t>
            </w:r>
          </w:p>
        </w:tc>
      </w:tr>
      <w:tr w14:paraId="5F9702E5">
        <w:tblPrEx/>
        <w:trPr/>
        <w:tc>
          <w:tcPr>
            <w:tcW w:w="1700" w:type="dxa"/>
            <w:tcBorders/>
            <w:tcMar>
              <w:top w:w="60" w:type="dxa"/>
              <w:left w:w="80" w:type="dxa"/>
              <w:bottom w:w="60" w:type="dxa"/>
              <w:right w:w="80" w:type="dxa"/>
            </w:tcMar>
            <w:vAlign w:val="center"/>
          </w:tcPr>
          <w:p w14:paraId="E205F141">
            <w:pPr>
              <w:pStyle w:val="style0"/>
              <w:spacing w:after="40" w:lineRule="auto" w:line="240"/>
              <w:jc w:val="left"/>
              <w:rPr/>
            </w:pPr>
            <w:r>
              <w:rPr>
                <w:rFonts w:ascii="Times New Roman" w:cs="Times New Roman" w:eastAsia="Times New Roman" w:hAnsi="Times New Roman"/>
                <w:b w:val="false"/>
                <w:bCs w:val="false"/>
                <w:sz w:val="19"/>
                <w:szCs w:val="19"/>
              </w:rPr>
              <w:t>Baseline</w:t>
            </w:r>
          </w:p>
        </w:tc>
        <w:tc>
          <w:tcPr>
            <w:tcW w:w="2500" w:type="dxa"/>
            <w:tcBorders/>
            <w:tcMar>
              <w:top w:w="60" w:type="dxa"/>
              <w:left w:w="80" w:type="dxa"/>
              <w:bottom w:w="60" w:type="dxa"/>
              <w:right w:w="80" w:type="dxa"/>
            </w:tcMar>
            <w:vAlign w:val="center"/>
          </w:tcPr>
          <w:p w14:paraId="FB52C969">
            <w:pPr>
              <w:pStyle w:val="style0"/>
              <w:spacing w:after="40" w:lineRule="auto" w:line="240"/>
              <w:jc w:val="left"/>
              <w:rPr/>
            </w:pPr>
            <w:r>
              <w:rPr>
                <w:rFonts w:ascii="Times New Roman" w:cs="Times New Roman" w:eastAsia="Times New Roman" w:hAnsi="Times New Roman"/>
                <w:b w:val="false"/>
                <w:bCs w:val="false"/>
                <w:sz w:val="19"/>
                <w:szCs w:val="19"/>
              </w:rPr>
              <w:t>Existing inefficient systems</w:t>
            </w:r>
          </w:p>
        </w:tc>
        <w:tc>
          <w:tcPr>
            <w:tcW w:w="1700" w:type="dxa"/>
            <w:tcBorders/>
            <w:tcMar>
              <w:top w:w="60" w:type="dxa"/>
              <w:left w:w="80" w:type="dxa"/>
              <w:bottom w:w="60" w:type="dxa"/>
              <w:right w:w="80" w:type="dxa"/>
            </w:tcMar>
            <w:vAlign w:val="center"/>
          </w:tcPr>
          <w:p w14:paraId="AA4B47F2">
            <w:pPr>
              <w:pStyle w:val="style0"/>
              <w:spacing w:after="40" w:lineRule="auto" w:line="240"/>
              <w:jc w:val="left"/>
              <w:rPr/>
            </w:pPr>
            <w:r>
              <w:rPr>
                <w:rFonts w:ascii="Times New Roman" w:cs="Times New Roman" w:eastAsia="Times New Roman" w:hAnsi="Times New Roman"/>
                <w:b w:val="false"/>
                <w:bCs w:val="false"/>
                <w:sz w:val="19"/>
                <w:szCs w:val="19"/>
              </w:rPr>
              <w:t>100</w:t>
            </w:r>
          </w:p>
        </w:tc>
        <w:tc>
          <w:tcPr>
            <w:tcW w:w="1700" w:type="dxa"/>
            <w:tcBorders/>
            <w:tcMar>
              <w:top w:w="60" w:type="dxa"/>
              <w:left w:w="80" w:type="dxa"/>
              <w:bottom w:w="60" w:type="dxa"/>
              <w:right w:w="80" w:type="dxa"/>
            </w:tcMar>
            <w:vAlign w:val="center"/>
          </w:tcPr>
          <w:p w14:paraId="C233192E">
            <w:pPr>
              <w:pStyle w:val="style0"/>
              <w:spacing w:after="40" w:lineRule="auto" w:line="240"/>
              <w:jc w:val="left"/>
              <w:rPr/>
            </w:pPr>
            <w:r>
              <w:rPr>
                <w:rFonts w:ascii="Times New Roman" w:cs="Times New Roman" w:eastAsia="Times New Roman" w:hAnsi="Times New Roman"/>
                <w:b w:val="false"/>
                <w:bCs w:val="false"/>
                <w:sz w:val="19"/>
                <w:szCs w:val="19"/>
              </w:rPr>
              <w:t>0%</w:t>
            </w:r>
          </w:p>
        </w:tc>
        <w:tc>
          <w:tcPr>
            <w:tcW w:w="1600" w:type="dxa"/>
            <w:tcBorders/>
            <w:tcMar>
              <w:top w:w="60" w:type="dxa"/>
              <w:left w:w="80" w:type="dxa"/>
              <w:bottom w:w="60" w:type="dxa"/>
              <w:right w:w="80" w:type="dxa"/>
            </w:tcMar>
            <w:vAlign w:val="center"/>
          </w:tcPr>
          <w:p w14:paraId="2814C168">
            <w:pPr>
              <w:pStyle w:val="style0"/>
              <w:spacing w:after="40" w:lineRule="auto" w:line="240"/>
              <w:jc w:val="left"/>
              <w:rPr/>
            </w:pPr>
            <w:r>
              <w:rPr>
                <w:rFonts w:ascii="Times New Roman" w:cs="Times New Roman" w:eastAsia="Times New Roman" w:hAnsi="Times New Roman"/>
                <w:b w:val="false"/>
                <w:bCs w:val="false"/>
                <w:sz w:val="19"/>
                <w:szCs w:val="19"/>
              </w:rPr>
              <w:t>Current high-cost operation</w:t>
            </w:r>
          </w:p>
        </w:tc>
      </w:tr>
      <w:tr w14:paraId="D3899A76">
        <w:tblPrEx/>
        <w:trPr/>
        <w:tc>
          <w:tcPr>
            <w:tcW w:w="1700" w:type="dxa"/>
            <w:tcBorders/>
            <w:tcMar>
              <w:top w:w="60" w:type="dxa"/>
              <w:left w:w="80" w:type="dxa"/>
              <w:bottom w:w="60" w:type="dxa"/>
              <w:right w:w="80" w:type="dxa"/>
            </w:tcMar>
            <w:vAlign w:val="center"/>
          </w:tcPr>
          <w:p w14:paraId="D710AC88">
            <w:pPr>
              <w:pStyle w:val="style0"/>
              <w:spacing w:after="40" w:lineRule="auto" w:line="240"/>
              <w:jc w:val="left"/>
              <w:rPr/>
            </w:pPr>
            <w:r>
              <w:rPr>
                <w:rFonts w:ascii="Times New Roman" w:cs="Times New Roman" w:eastAsia="Times New Roman" w:hAnsi="Times New Roman"/>
                <w:b w:val="false"/>
                <w:bCs w:val="false"/>
                <w:sz w:val="19"/>
                <w:szCs w:val="19"/>
              </w:rPr>
              <w:t>Stage 1</w:t>
            </w:r>
          </w:p>
        </w:tc>
        <w:tc>
          <w:tcPr>
            <w:tcW w:w="2500" w:type="dxa"/>
            <w:tcBorders/>
            <w:tcMar>
              <w:top w:w="60" w:type="dxa"/>
              <w:left w:w="80" w:type="dxa"/>
              <w:bottom w:w="60" w:type="dxa"/>
              <w:right w:w="80" w:type="dxa"/>
            </w:tcMar>
            <w:vAlign w:val="center"/>
          </w:tcPr>
          <w:p w14:paraId="0FFC81AA">
            <w:pPr>
              <w:pStyle w:val="style0"/>
              <w:spacing w:after="40" w:lineRule="auto" w:line="240"/>
              <w:jc w:val="left"/>
              <w:rPr/>
            </w:pPr>
            <w:r>
              <w:rPr>
                <w:rFonts w:ascii="Times New Roman" w:cs="Times New Roman" w:eastAsia="Times New Roman" w:hAnsi="Times New Roman"/>
                <w:b w:val="false"/>
                <w:bCs w:val="false"/>
                <w:sz w:val="19"/>
                <w:szCs w:val="19"/>
              </w:rPr>
              <w:t>LED lighting, basic maintenance, shutdown rules</w:t>
            </w:r>
          </w:p>
        </w:tc>
        <w:tc>
          <w:tcPr>
            <w:tcW w:w="1700" w:type="dxa"/>
            <w:tcBorders/>
            <w:tcMar>
              <w:top w:w="60" w:type="dxa"/>
              <w:left w:w="80" w:type="dxa"/>
              <w:bottom w:w="60" w:type="dxa"/>
              <w:right w:w="80" w:type="dxa"/>
            </w:tcMar>
            <w:vAlign w:val="center"/>
          </w:tcPr>
          <w:p w14:paraId="641B4B6E">
            <w:pPr>
              <w:pStyle w:val="style0"/>
              <w:spacing w:after="40" w:lineRule="auto" w:line="240"/>
              <w:jc w:val="left"/>
              <w:rPr/>
            </w:pPr>
            <w:r>
              <w:rPr>
                <w:rFonts w:ascii="Times New Roman" w:cs="Times New Roman" w:eastAsia="Times New Roman" w:hAnsi="Times New Roman"/>
                <w:b w:val="false"/>
                <w:bCs w:val="false"/>
                <w:sz w:val="19"/>
                <w:szCs w:val="19"/>
              </w:rPr>
              <w:t>88-92</w:t>
            </w:r>
          </w:p>
        </w:tc>
        <w:tc>
          <w:tcPr>
            <w:tcW w:w="1700" w:type="dxa"/>
            <w:tcBorders/>
            <w:tcMar>
              <w:top w:w="60" w:type="dxa"/>
              <w:left w:w="80" w:type="dxa"/>
              <w:bottom w:w="60" w:type="dxa"/>
              <w:right w:w="80" w:type="dxa"/>
            </w:tcMar>
            <w:vAlign w:val="center"/>
          </w:tcPr>
          <w:p w14:paraId="4571A429">
            <w:pPr>
              <w:pStyle w:val="style0"/>
              <w:spacing w:after="40" w:lineRule="auto" w:line="240"/>
              <w:jc w:val="left"/>
              <w:rPr/>
            </w:pPr>
            <w:r>
              <w:rPr>
                <w:rFonts w:ascii="Times New Roman" w:cs="Times New Roman" w:eastAsia="Times New Roman" w:hAnsi="Times New Roman"/>
                <w:b w:val="false"/>
                <w:bCs w:val="false"/>
                <w:sz w:val="19"/>
                <w:szCs w:val="19"/>
              </w:rPr>
              <w:t>8-12%</w:t>
            </w:r>
          </w:p>
        </w:tc>
        <w:tc>
          <w:tcPr>
            <w:tcW w:w="1600" w:type="dxa"/>
            <w:tcBorders/>
            <w:tcMar>
              <w:top w:w="60" w:type="dxa"/>
              <w:left w:w="80" w:type="dxa"/>
              <w:bottom w:w="60" w:type="dxa"/>
              <w:right w:w="80" w:type="dxa"/>
            </w:tcMar>
            <w:vAlign w:val="center"/>
          </w:tcPr>
          <w:p w14:paraId="EEDA894D">
            <w:pPr>
              <w:pStyle w:val="style0"/>
              <w:spacing w:after="40" w:lineRule="auto" w:line="240"/>
              <w:jc w:val="left"/>
              <w:rPr/>
            </w:pPr>
            <w:r>
              <w:rPr>
                <w:rFonts w:ascii="Times New Roman" w:cs="Times New Roman" w:eastAsia="Times New Roman" w:hAnsi="Times New Roman"/>
                <w:b w:val="false"/>
                <w:bCs w:val="false"/>
                <w:sz w:val="19"/>
                <w:szCs w:val="19"/>
              </w:rPr>
              <w:t>Quick savings, low disruption</w:t>
            </w:r>
          </w:p>
        </w:tc>
      </w:tr>
      <w:tr w14:paraId="BF56D56B">
        <w:tblPrEx/>
        <w:trPr/>
        <w:tc>
          <w:tcPr>
            <w:tcW w:w="1700" w:type="dxa"/>
            <w:tcBorders/>
            <w:tcMar>
              <w:top w:w="60" w:type="dxa"/>
              <w:left w:w="80" w:type="dxa"/>
              <w:bottom w:w="60" w:type="dxa"/>
              <w:right w:w="80" w:type="dxa"/>
            </w:tcMar>
            <w:vAlign w:val="center"/>
          </w:tcPr>
          <w:p w14:paraId="79F632FB">
            <w:pPr>
              <w:pStyle w:val="style0"/>
              <w:spacing w:after="40" w:lineRule="auto" w:line="240"/>
              <w:jc w:val="left"/>
              <w:rPr/>
            </w:pPr>
            <w:r>
              <w:rPr>
                <w:rFonts w:ascii="Times New Roman" w:cs="Times New Roman" w:eastAsia="Times New Roman" w:hAnsi="Times New Roman"/>
                <w:b w:val="false"/>
                <w:bCs w:val="false"/>
                <w:sz w:val="19"/>
                <w:szCs w:val="19"/>
              </w:rPr>
              <w:t>Stage 2</w:t>
            </w:r>
          </w:p>
        </w:tc>
        <w:tc>
          <w:tcPr>
            <w:tcW w:w="2500" w:type="dxa"/>
            <w:tcBorders/>
            <w:tcMar>
              <w:top w:w="60" w:type="dxa"/>
              <w:left w:w="80" w:type="dxa"/>
              <w:bottom w:w="60" w:type="dxa"/>
              <w:right w:w="80" w:type="dxa"/>
            </w:tcMar>
            <w:vAlign w:val="center"/>
          </w:tcPr>
          <w:p w14:paraId="DAE923B1">
            <w:pPr>
              <w:pStyle w:val="style0"/>
              <w:spacing w:after="40" w:lineRule="auto" w:line="240"/>
              <w:jc w:val="left"/>
              <w:rPr/>
            </w:pPr>
            <w:r>
              <w:rPr>
                <w:rFonts w:ascii="Times New Roman" w:cs="Times New Roman" w:eastAsia="Times New Roman" w:hAnsi="Times New Roman"/>
                <w:b w:val="false"/>
                <w:bCs w:val="false"/>
                <w:sz w:val="19"/>
                <w:szCs w:val="19"/>
              </w:rPr>
              <w:t>Occupancy controls and smart meters</w:t>
            </w:r>
          </w:p>
        </w:tc>
        <w:tc>
          <w:tcPr>
            <w:tcW w:w="1700" w:type="dxa"/>
            <w:tcBorders/>
            <w:tcMar>
              <w:top w:w="60" w:type="dxa"/>
              <w:left w:w="80" w:type="dxa"/>
              <w:bottom w:w="60" w:type="dxa"/>
              <w:right w:w="80" w:type="dxa"/>
            </w:tcMar>
            <w:vAlign w:val="center"/>
          </w:tcPr>
          <w:p w14:paraId="28D8FB23">
            <w:pPr>
              <w:pStyle w:val="style0"/>
              <w:spacing w:after="40" w:lineRule="auto" w:line="240"/>
              <w:jc w:val="left"/>
              <w:rPr/>
            </w:pPr>
            <w:r>
              <w:rPr>
                <w:rFonts w:ascii="Times New Roman" w:cs="Times New Roman" w:eastAsia="Times New Roman" w:hAnsi="Times New Roman"/>
                <w:b w:val="false"/>
                <w:bCs w:val="false"/>
                <w:sz w:val="19"/>
                <w:szCs w:val="19"/>
              </w:rPr>
              <w:t>78-85</w:t>
            </w:r>
          </w:p>
        </w:tc>
        <w:tc>
          <w:tcPr>
            <w:tcW w:w="1700" w:type="dxa"/>
            <w:tcBorders/>
            <w:tcMar>
              <w:top w:w="60" w:type="dxa"/>
              <w:left w:w="80" w:type="dxa"/>
              <w:bottom w:w="60" w:type="dxa"/>
              <w:right w:w="80" w:type="dxa"/>
            </w:tcMar>
            <w:vAlign w:val="center"/>
          </w:tcPr>
          <w:p w14:paraId="1B0BE0DC">
            <w:pPr>
              <w:pStyle w:val="style0"/>
              <w:spacing w:after="40" w:lineRule="auto" w:line="240"/>
              <w:jc w:val="left"/>
              <w:rPr/>
            </w:pPr>
            <w:r>
              <w:rPr>
                <w:rFonts w:ascii="Times New Roman" w:cs="Times New Roman" w:eastAsia="Times New Roman" w:hAnsi="Times New Roman"/>
                <w:b w:val="false"/>
                <w:bCs w:val="false"/>
                <w:sz w:val="19"/>
                <w:szCs w:val="19"/>
              </w:rPr>
              <w:t>15-22%</w:t>
            </w:r>
          </w:p>
        </w:tc>
        <w:tc>
          <w:tcPr>
            <w:tcW w:w="1600" w:type="dxa"/>
            <w:tcBorders/>
            <w:tcMar>
              <w:top w:w="60" w:type="dxa"/>
              <w:left w:w="80" w:type="dxa"/>
              <w:bottom w:w="60" w:type="dxa"/>
              <w:right w:w="80" w:type="dxa"/>
            </w:tcMar>
            <w:vAlign w:val="center"/>
          </w:tcPr>
          <w:p w14:paraId="F0B3A750">
            <w:pPr>
              <w:pStyle w:val="style0"/>
              <w:spacing w:after="40" w:lineRule="auto" w:line="240"/>
              <w:jc w:val="left"/>
              <w:rPr/>
            </w:pPr>
            <w:r>
              <w:rPr>
                <w:rFonts w:ascii="Times New Roman" w:cs="Times New Roman" w:eastAsia="Times New Roman" w:hAnsi="Times New Roman"/>
                <w:b w:val="false"/>
                <w:bCs w:val="false"/>
                <w:sz w:val="19"/>
                <w:szCs w:val="19"/>
              </w:rPr>
              <w:t>Improved control, reduced wastage</w:t>
            </w:r>
          </w:p>
        </w:tc>
      </w:tr>
      <w:tr w14:paraId="0EF66302">
        <w:tblPrEx/>
        <w:trPr/>
        <w:tc>
          <w:tcPr>
            <w:tcW w:w="1700" w:type="dxa"/>
            <w:tcBorders/>
            <w:tcMar>
              <w:top w:w="60" w:type="dxa"/>
              <w:left w:w="80" w:type="dxa"/>
              <w:bottom w:w="60" w:type="dxa"/>
              <w:right w:w="80" w:type="dxa"/>
            </w:tcMar>
            <w:vAlign w:val="center"/>
          </w:tcPr>
          <w:p w14:paraId="435BC24B">
            <w:pPr>
              <w:pStyle w:val="style0"/>
              <w:spacing w:after="40" w:lineRule="auto" w:line="240"/>
              <w:jc w:val="left"/>
              <w:rPr/>
            </w:pPr>
            <w:r>
              <w:rPr>
                <w:rFonts w:ascii="Times New Roman" w:cs="Times New Roman" w:eastAsia="Times New Roman" w:hAnsi="Times New Roman"/>
                <w:b w:val="false"/>
                <w:bCs w:val="false"/>
                <w:sz w:val="19"/>
                <w:szCs w:val="19"/>
              </w:rPr>
              <w:t>Stage 3</w:t>
            </w:r>
          </w:p>
        </w:tc>
        <w:tc>
          <w:tcPr>
            <w:tcW w:w="2500" w:type="dxa"/>
            <w:tcBorders/>
            <w:tcMar>
              <w:top w:w="60" w:type="dxa"/>
              <w:left w:w="80" w:type="dxa"/>
              <w:bottom w:w="60" w:type="dxa"/>
              <w:right w:w="80" w:type="dxa"/>
            </w:tcMar>
            <w:vAlign w:val="center"/>
          </w:tcPr>
          <w:p w14:paraId="DAFDA0EF">
            <w:pPr>
              <w:pStyle w:val="style0"/>
              <w:spacing w:after="40" w:lineRule="auto" w:line="240"/>
              <w:jc w:val="left"/>
              <w:rPr/>
            </w:pPr>
            <w:r>
              <w:rPr>
                <w:rFonts w:ascii="Times New Roman" w:cs="Times New Roman" w:eastAsia="Times New Roman" w:hAnsi="Times New Roman"/>
                <w:b w:val="false"/>
                <w:bCs w:val="false"/>
                <w:sz w:val="19"/>
                <w:szCs w:val="19"/>
              </w:rPr>
              <w:t>HVAC optimisation and envelope improvements</w:t>
            </w:r>
          </w:p>
        </w:tc>
        <w:tc>
          <w:tcPr>
            <w:tcW w:w="1700" w:type="dxa"/>
            <w:tcBorders/>
            <w:tcMar>
              <w:top w:w="60" w:type="dxa"/>
              <w:left w:w="80" w:type="dxa"/>
              <w:bottom w:w="60" w:type="dxa"/>
              <w:right w:w="80" w:type="dxa"/>
            </w:tcMar>
            <w:vAlign w:val="center"/>
          </w:tcPr>
          <w:p w14:paraId="E4CBEBAD">
            <w:pPr>
              <w:pStyle w:val="style0"/>
              <w:spacing w:after="40" w:lineRule="auto" w:line="240"/>
              <w:jc w:val="left"/>
              <w:rPr/>
            </w:pPr>
            <w:r>
              <w:rPr>
                <w:rFonts w:ascii="Times New Roman" w:cs="Times New Roman" w:eastAsia="Times New Roman" w:hAnsi="Times New Roman"/>
                <w:b w:val="false"/>
                <w:bCs w:val="false"/>
                <w:sz w:val="19"/>
                <w:szCs w:val="19"/>
              </w:rPr>
              <w:t>65-75</w:t>
            </w:r>
          </w:p>
        </w:tc>
        <w:tc>
          <w:tcPr>
            <w:tcW w:w="1700" w:type="dxa"/>
            <w:tcBorders/>
            <w:tcMar>
              <w:top w:w="60" w:type="dxa"/>
              <w:left w:w="80" w:type="dxa"/>
              <w:bottom w:w="60" w:type="dxa"/>
              <w:right w:w="80" w:type="dxa"/>
            </w:tcMar>
            <w:vAlign w:val="center"/>
          </w:tcPr>
          <w:p w14:paraId="E82A7B5B">
            <w:pPr>
              <w:pStyle w:val="style0"/>
              <w:spacing w:after="40" w:lineRule="auto" w:line="240"/>
              <w:jc w:val="left"/>
              <w:rPr/>
            </w:pPr>
            <w:r>
              <w:rPr>
                <w:rFonts w:ascii="Times New Roman" w:cs="Times New Roman" w:eastAsia="Times New Roman" w:hAnsi="Times New Roman"/>
                <w:b w:val="false"/>
                <w:bCs w:val="false"/>
                <w:sz w:val="19"/>
                <w:szCs w:val="19"/>
              </w:rPr>
              <w:t>25-35%</w:t>
            </w:r>
          </w:p>
        </w:tc>
        <w:tc>
          <w:tcPr>
            <w:tcW w:w="1600" w:type="dxa"/>
            <w:tcBorders/>
            <w:tcMar>
              <w:top w:w="60" w:type="dxa"/>
              <w:left w:w="80" w:type="dxa"/>
              <w:bottom w:w="60" w:type="dxa"/>
              <w:right w:w="80" w:type="dxa"/>
            </w:tcMar>
            <w:vAlign w:val="center"/>
          </w:tcPr>
          <w:p w14:paraId="B109F776">
            <w:pPr>
              <w:pStyle w:val="style0"/>
              <w:spacing w:after="40" w:lineRule="auto" w:line="240"/>
              <w:jc w:val="left"/>
              <w:rPr/>
            </w:pPr>
            <w:r>
              <w:rPr>
                <w:rFonts w:ascii="Times New Roman" w:cs="Times New Roman" w:eastAsia="Times New Roman" w:hAnsi="Times New Roman"/>
                <w:b w:val="false"/>
                <w:bCs w:val="false"/>
                <w:sz w:val="19"/>
                <w:szCs w:val="19"/>
              </w:rPr>
              <w:t>Major reduction in cooling demand</w:t>
            </w:r>
          </w:p>
        </w:tc>
      </w:tr>
      <w:tr w14:paraId="9202923A">
        <w:tblPrEx/>
        <w:trPr/>
        <w:tc>
          <w:tcPr>
            <w:tcW w:w="1700" w:type="dxa"/>
            <w:tcBorders/>
            <w:tcMar>
              <w:top w:w="60" w:type="dxa"/>
              <w:left w:w="80" w:type="dxa"/>
              <w:bottom w:w="60" w:type="dxa"/>
              <w:right w:w="80" w:type="dxa"/>
            </w:tcMar>
            <w:vAlign w:val="center"/>
          </w:tcPr>
          <w:p w14:paraId="DBC320DC">
            <w:pPr>
              <w:pStyle w:val="style0"/>
              <w:spacing w:after="40" w:lineRule="auto" w:line="240"/>
              <w:jc w:val="left"/>
              <w:rPr/>
            </w:pPr>
            <w:r>
              <w:rPr>
                <w:rFonts w:ascii="Times New Roman" w:cs="Times New Roman" w:eastAsia="Times New Roman" w:hAnsi="Times New Roman"/>
                <w:b w:val="false"/>
                <w:bCs w:val="false"/>
                <w:sz w:val="19"/>
                <w:szCs w:val="19"/>
              </w:rPr>
              <w:t>Stage 4</w:t>
            </w:r>
          </w:p>
        </w:tc>
        <w:tc>
          <w:tcPr>
            <w:tcW w:w="2500" w:type="dxa"/>
            <w:tcBorders/>
            <w:tcMar>
              <w:top w:w="60" w:type="dxa"/>
              <w:left w:w="80" w:type="dxa"/>
              <w:bottom w:w="60" w:type="dxa"/>
              <w:right w:w="80" w:type="dxa"/>
            </w:tcMar>
            <w:vAlign w:val="center"/>
          </w:tcPr>
          <w:p w14:paraId="259ACBBE">
            <w:pPr>
              <w:pStyle w:val="style0"/>
              <w:spacing w:after="40" w:lineRule="auto" w:line="240"/>
              <w:jc w:val="left"/>
              <w:rPr/>
            </w:pPr>
            <w:r>
              <w:rPr>
                <w:rFonts w:ascii="Times New Roman" w:cs="Times New Roman" w:eastAsia="Times New Roman" w:hAnsi="Times New Roman"/>
                <w:b w:val="false"/>
                <w:bCs w:val="false"/>
                <w:sz w:val="19"/>
                <w:szCs w:val="19"/>
              </w:rPr>
              <w:t>Solar PV, storage and continuous monitoring</w:t>
            </w:r>
          </w:p>
        </w:tc>
        <w:tc>
          <w:tcPr>
            <w:tcW w:w="1700" w:type="dxa"/>
            <w:tcBorders/>
            <w:tcMar>
              <w:top w:w="60" w:type="dxa"/>
              <w:left w:w="80" w:type="dxa"/>
              <w:bottom w:w="60" w:type="dxa"/>
              <w:right w:w="80" w:type="dxa"/>
            </w:tcMar>
            <w:vAlign w:val="center"/>
          </w:tcPr>
          <w:p w14:paraId="BEE427B7">
            <w:pPr>
              <w:pStyle w:val="style0"/>
              <w:spacing w:after="40" w:lineRule="auto" w:line="240"/>
              <w:jc w:val="left"/>
              <w:rPr/>
            </w:pPr>
            <w:r>
              <w:rPr>
                <w:rFonts w:ascii="Times New Roman" w:cs="Times New Roman" w:eastAsia="Times New Roman" w:hAnsi="Times New Roman"/>
                <w:b w:val="false"/>
                <w:bCs w:val="false"/>
                <w:sz w:val="19"/>
                <w:szCs w:val="19"/>
              </w:rPr>
              <w:t>55-70</w:t>
            </w:r>
          </w:p>
        </w:tc>
        <w:tc>
          <w:tcPr>
            <w:tcW w:w="1700" w:type="dxa"/>
            <w:tcBorders/>
            <w:tcMar>
              <w:top w:w="60" w:type="dxa"/>
              <w:left w:w="80" w:type="dxa"/>
              <w:bottom w:w="60" w:type="dxa"/>
              <w:right w:w="80" w:type="dxa"/>
            </w:tcMar>
            <w:vAlign w:val="center"/>
          </w:tcPr>
          <w:p w14:paraId="6D8707C3">
            <w:pPr>
              <w:pStyle w:val="style0"/>
              <w:spacing w:after="40" w:lineRule="auto" w:line="240"/>
              <w:jc w:val="left"/>
              <w:rPr/>
            </w:pPr>
            <w:r>
              <w:rPr>
                <w:rFonts w:ascii="Times New Roman" w:cs="Times New Roman" w:eastAsia="Times New Roman" w:hAnsi="Times New Roman"/>
                <w:b w:val="false"/>
                <w:bCs w:val="false"/>
                <w:sz w:val="19"/>
                <w:szCs w:val="19"/>
              </w:rPr>
              <w:t>30-45%</w:t>
            </w:r>
          </w:p>
        </w:tc>
        <w:tc>
          <w:tcPr>
            <w:tcW w:w="1600" w:type="dxa"/>
            <w:tcBorders/>
            <w:tcMar>
              <w:top w:w="60" w:type="dxa"/>
              <w:left w:w="80" w:type="dxa"/>
              <w:bottom w:w="60" w:type="dxa"/>
              <w:right w:w="80" w:type="dxa"/>
            </w:tcMar>
            <w:vAlign w:val="center"/>
          </w:tcPr>
          <w:p w14:paraId="2A912055">
            <w:pPr>
              <w:pStyle w:val="style0"/>
              <w:spacing w:after="40" w:lineRule="auto" w:line="240"/>
              <w:jc w:val="left"/>
              <w:rPr/>
            </w:pPr>
            <w:r>
              <w:rPr>
                <w:rFonts w:ascii="Times New Roman" w:cs="Times New Roman" w:eastAsia="Times New Roman" w:hAnsi="Times New Roman"/>
                <w:b w:val="false"/>
                <w:bCs w:val="false"/>
                <w:sz w:val="19"/>
                <w:szCs w:val="19"/>
              </w:rPr>
              <w:t>Lower grid/diesel dependence, improved resilience</w:t>
            </w:r>
          </w:p>
        </w:tc>
      </w:tr>
    </w:tbl>
    <w:p w14:paraId="BEF44B0A">
      <w:pPr>
        <w:pStyle w:val="style0"/>
        <w:spacing w:after="200"/>
        <w:rPr/>
      </w:pPr>
    </w:p>
    <w:p w14:paraId="753DAFE7">
      <w:pPr>
        <w:pStyle w:val="style0"/>
        <w:spacing w:before="180" w:after="100" w:lineRule="auto" w:line="480"/>
        <w:rPr/>
      </w:pPr>
      <w:r>
        <w:rPr>
          <w:rFonts w:ascii="Times New Roman" w:cs="Times New Roman" w:eastAsia="Times New Roman" w:hAnsi="Times New Roman"/>
          <w:b/>
          <w:bCs/>
          <w:i/>
          <w:iCs/>
          <w:sz w:val="24"/>
          <w:szCs w:val="24"/>
        </w:rPr>
        <w:t>Barriers to Retrofit Adoption</w:t>
      </w:r>
    </w:p>
    <w:p w14:paraId="527576CE">
      <w:pPr>
        <w:pStyle w:val="style0"/>
        <w:spacing w:after="120" w:lineRule="auto" w:line="480"/>
        <w:jc w:val="both"/>
        <w:rPr/>
      </w:pPr>
      <w:r>
        <w:rPr>
          <w:rFonts w:ascii="Times New Roman" w:cs="Times New Roman" w:eastAsia="Times New Roman" w:hAnsi="Times New Roman"/>
          <w:sz w:val="24"/>
          <w:szCs w:val="24"/>
        </w:rPr>
        <w:t>Despite the technical benefits, retrofit adoption in Nigerian hotels remains constrained by financial, technical and institutional barriers. Many operators focus on immediate cash flow and may delay energy upgrades because savings accrue over time. Technical capacity is also a concern because poorly designed retrofits can underperform, and weak enforcement of energy-efficiency standards reduces pressure on building owners to improve performance.</w:t>
      </w:r>
    </w:p>
    <w:p w14:paraId="A1FE2A72">
      <w:pPr>
        <w:pStyle w:val="style0"/>
        <w:spacing w:after="80" w:lineRule="auto" w:line="240"/>
        <w:jc w:val="both"/>
        <w:rPr/>
      </w:pPr>
      <w:r>
        <w:rPr>
          <w:rFonts w:ascii="Times New Roman" w:cs="Times New Roman" w:eastAsia="Times New Roman" w:hAnsi="Times New Roman"/>
          <w:b/>
          <w:bCs/>
          <w:sz w:val="24"/>
          <w:szCs w:val="24"/>
        </w:rPr>
        <w:t>Table 4: Barriers to retrofit adoption and proposed responses.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00"/>
        <w:gridCol w:w="3300"/>
        <w:gridCol w:w="3700"/>
      </w:tblGrid>
      <w:tr w14:paraId="B54FA1E9">
        <w:trPr>
          <w:tblHeader/>
        </w:trPr>
        <w:tc>
          <w:tcPr>
            <w:tcW w:w="2200" w:type="dxa"/>
            <w:tcBorders/>
            <w:shd w:val="clear" w:color="auto" w:fill="d9e2d9"/>
            <w:tcMar>
              <w:top w:w="60" w:type="dxa"/>
              <w:left w:w="80" w:type="dxa"/>
              <w:bottom w:w="60" w:type="dxa"/>
              <w:right w:w="80" w:type="dxa"/>
            </w:tcMar>
            <w:vAlign w:val="center"/>
          </w:tcPr>
          <w:p w14:paraId="1C7BCB02">
            <w:pPr>
              <w:pStyle w:val="style0"/>
              <w:spacing w:after="40" w:lineRule="auto" w:line="240"/>
              <w:jc w:val="center"/>
              <w:rPr/>
            </w:pPr>
            <w:r>
              <w:rPr>
                <w:rFonts w:ascii="Times New Roman" w:cs="Times New Roman" w:eastAsia="Times New Roman" w:hAnsi="Times New Roman"/>
                <w:b/>
                <w:bCs/>
                <w:sz w:val="19"/>
                <w:szCs w:val="19"/>
              </w:rPr>
              <w:t>Barrier</w:t>
            </w:r>
          </w:p>
        </w:tc>
        <w:tc>
          <w:tcPr>
            <w:tcW w:w="3300" w:type="dxa"/>
            <w:tcBorders/>
            <w:shd w:val="clear" w:color="auto" w:fill="d9e2d9"/>
            <w:tcMar>
              <w:top w:w="60" w:type="dxa"/>
              <w:left w:w="80" w:type="dxa"/>
              <w:bottom w:w="60" w:type="dxa"/>
              <w:right w:w="80" w:type="dxa"/>
            </w:tcMar>
            <w:vAlign w:val="center"/>
          </w:tcPr>
          <w:p w14:paraId="4B3527C2">
            <w:pPr>
              <w:pStyle w:val="style0"/>
              <w:spacing w:after="40" w:lineRule="auto" w:line="240"/>
              <w:jc w:val="center"/>
              <w:rPr/>
            </w:pPr>
            <w:r>
              <w:rPr>
                <w:rFonts w:ascii="Times New Roman" w:cs="Times New Roman" w:eastAsia="Times New Roman" w:hAnsi="Times New Roman"/>
                <w:b/>
                <w:bCs/>
                <w:sz w:val="19"/>
                <w:szCs w:val="19"/>
              </w:rPr>
              <w:t>How it affects hotels</w:t>
            </w:r>
          </w:p>
        </w:tc>
        <w:tc>
          <w:tcPr>
            <w:tcW w:w="3700" w:type="dxa"/>
            <w:tcBorders/>
            <w:shd w:val="clear" w:color="auto" w:fill="d9e2d9"/>
            <w:tcMar>
              <w:top w:w="60" w:type="dxa"/>
              <w:left w:w="80" w:type="dxa"/>
              <w:bottom w:w="60" w:type="dxa"/>
              <w:right w:w="80" w:type="dxa"/>
            </w:tcMar>
            <w:vAlign w:val="center"/>
          </w:tcPr>
          <w:p w14:paraId="E67B938A">
            <w:pPr>
              <w:pStyle w:val="style0"/>
              <w:spacing w:after="40" w:lineRule="auto" w:line="240"/>
              <w:jc w:val="center"/>
              <w:rPr/>
            </w:pPr>
            <w:r>
              <w:rPr>
                <w:rFonts w:ascii="Times New Roman" w:cs="Times New Roman" w:eastAsia="Times New Roman" w:hAnsi="Times New Roman"/>
                <w:b/>
                <w:bCs/>
                <w:sz w:val="19"/>
                <w:szCs w:val="19"/>
              </w:rPr>
              <w:t>Recommended response</w:t>
            </w:r>
          </w:p>
        </w:tc>
      </w:tr>
      <w:tr w14:paraId="33A55C54">
        <w:tblPrEx/>
        <w:trPr/>
        <w:tc>
          <w:tcPr>
            <w:tcW w:w="2200" w:type="dxa"/>
            <w:tcBorders/>
            <w:tcMar>
              <w:top w:w="60" w:type="dxa"/>
              <w:left w:w="80" w:type="dxa"/>
              <w:bottom w:w="60" w:type="dxa"/>
              <w:right w:w="80" w:type="dxa"/>
            </w:tcMar>
            <w:vAlign w:val="center"/>
          </w:tcPr>
          <w:p w14:paraId="3973B0AF">
            <w:pPr>
              <w:pStyle w:val="style0"/>
              <w:spacing w:after="40" w:lineRule="auto" w:line="240"/>
              <w:jc w:val="left"/>
              <w:rPr/>
            </w:pPr>
            <w:r>
              <w:rPr>
                <w:rFonts w:ascii="Times New Roman" w:cs="Times New Roman" w:eastAsia="Times New Roman" w:hAnsi="Times New Roman"/>
                <w:b w:val="false"/>
                <w:bCs w:val="false"/>
                <w:sz w:val="19"/>
                <w:szCs w:val="19"/>
              </w:rPr>
              <w:t>High upfront cost</w:t>
            </w:r>
          </w:p>
        </w:tc>
        <w:tc>
          <w:tcPr>
            <w:tcW w:w="3300" w:type="dxa"/>
            <w:tcBorders/>
            <w:tcMar>
              <w:top w:w="60" w:type="dxa"/>
              <w:left w:w="80" w:type="dxa"/>
              <w:bottom w:w="60" w:type="dxa"/>
              <w:right w:w="80" w:type="dxa"/>
            </w:tcMar>
            <w:vAlign w:val="center"/>
          </w:tcPr>
          <w:p w14:paraId="3DE0CC4A">
            <w:pPr>
              <w:pStyle w:val="style0"/>
              <w:spacing w:after="40" w:lineRule="auto" w:line="240"/>
              <w:jc w:val="left"/>
              <w:rPr/>
            </w:pPr>
            <w:r>
              <w:rPr>
                <w:rFonts w:ascii="Times New Roman" w:cs="Times New Roman" w:eastAsia="Times New Roman" w:hAnsi="Times New Roman"/>
                <w:b w:val="false"/>
                <w:bCs w:val="false"/>
                <w:sz w:val="19"/>
                <w:szCs w:val="19"/>
              </w:rPr>
              <w:t>Discourages investment even when lifecycle savings are attractive</w:t>
            </w:r>
          </w:p>
        </w:tc>
        <w:tc>
          <w:tcPr>
            <w:tcW w:w="3700" w:type="dxa"/>
            <w:tcBorders/>
            <w:tcMar>
              <w:top w:w="60" w:type="dxa"/>
              <w:left w:w="80" w:type="dxa"/>
              <w:bottom w:w="60" w:type="dxa"/>
              <w:right w:w="80" w:type="dxa"/>
            </w:tcMar>
            <w:vAlign w:val="center"/>
          </w:tcPr>
          <w:p w14:paraId="3CED71E2">
            <w:pPr>
              <w:pStyle w:val="style0"/>
              <w:spacing w:after="40" w:lineRule="auto" w:line="240"/>
              <w:jc w:val="left"/>
              <w:rPr/>
            </w:pPr>
            <w:r>
              <w:rPr>
                <w:rFonts w:ascii="Times New Roman" w:cs="Times New Roman" w:eastAsia="Times New Roman" w:hAnsi="Times New Roman"/>
                <w:b w:val="false"/>
                <w:bCs w:val="false"/>
                <w:sz w:val="19"/>
                <w:szCs w:val="19"/>
              </w:rPr>
              <w:t>Green loans, tax incentives, phased implementation, equipment leasing</w:t>
            </w:r>
          </w:p>
        </w:tc>
      </w:tr>
      <w:tr w14:paraId="1CCA20D1">
        <w:tblPrEx/>
        <w:trPr/>
        <w:tc>
          <w:tcPr>
            <w:tcW w:w="2200" w:type="dxa"/>
            <w:tcBorders/>
            <w:tcMar>
              <w:top w:w="60" w:type="dxa"/>
              <w:left w:w="80" w:type="dxa"/>
              <w:bottom w:w="60" w:type="dxa"/>
              <w:right w:w="80" w:type="dxa"/>
            </w:tcMar>
            <w:vAlign w:val="center"/>
          </w:tcPr>
          <w:p w14:paraId="7688896A">
            <w:pPr>
              <w:pStyle w:val="style0"/>
              <w:spacing w:after="40" w:lineRule="auto" w:line="240"/>
              <w:jc w:val="left"/>
              <w:rPr/>
            </w:pPr>
            <w:r>
              <w:rPr>
                <w:rFonts w:ascii="Times New Roman" w:cs="Times New Roman" w:eastAsia="Times New Roman" w:hAnsi="Times New Roman"/>
                <w:b w:val="false"/>
                <w:bCs w:val="false"/>
                <w:sz w:val="19"/>
                <w:szCs w:val="19"/>
              </w:rPr>
              <w:t>Limited technical expertise</w:t>
            </w:r>
          </w:p>
        </w:tc>
        <w:tc>
          <w:tcPr>
            <w:tcW w:w="3300" w:type="dxa"/>
            <w:tcBorders/>
            <w:tcMar>
              <w:top w:w="60" w:type="dxa"/>
              <w:left w:w="80" w:type="dxa"/>
              <w:bottom w:w="60" w:type="dxa"/>
              <w:right w:w="80" w:type="dxa"/>
            </w:tcMar>
            <w:vAlign w:val="center"/>
          </w:tcPr>
          <w:p w14:paraId="CEC489C5">
            <w:pPr>
              <w:pStyle w:val="style0"/>
              <w:spacing w:after="40" w:lineRule="auto" w:line="240"/>
              <w:jc w:val="left"/>
              <w:rPr/>
            </w:pPr>
            <w:r>
              <w:rPr>
                <w:rFonts w:ascii="Times New Roman" w:cs="Times New Roman" w:eastAsia="Times New Roman" w:hAnsi="Times New Roman"/>
                <w:b w:val="false"/>
                <w:bCs w:val="false"/>
                <w:sz w:val="19"/>
                <w:szCs w:val="19"/>
              </w:rPr>
              <w:t>Poor audit quality, wrong equipment selection, weak maintenance</w:t>
            </w:r>
          </w:p>
        </w:tc>
        <w:tc>
          <w:tcPr>
            <w:tcW w:w="3700" w:type="dxa"/>
            <w:tcBorders/>
            <w:tcMar>
              <w:top w:w="60" w:type="dxa"/>
              <w:left w:w="80" w:type="dxa"/>
              <w:bottom w:w="60" w:type="dxa"/>
              <w:right w:w="80" w:type="dxa"/>
            </w:tcMar>
            <w:vAlign w:val="center"/>
          </w:tcPr>
          <w:p w14:paraId="AE579503">
            <w:pPr>
              <w:pStyle w:val="style0"/>
              <w:spacing w:after="40" w:lineRule="auto" w:line="240"/>
              <w:jc w:val="left"/>
              <w:rPr/>
            </w:pPr>
            <w:r>
              <w:rPr>
                <w:rFonts w:ascii="Times New Roman" w:cs="Times New Roman" w:eastAsia="Times New Roman" w:hAnsi="Times New Roman"/>
                <w:b w:val="false"/>
                <w:bCs w:val="false"/>
                <w:sz w:val="19"/>
                <w:szCs w:val="19"/>
              </w:rPr>
              <w:t>Training for facility managers, certified energy auditors, professional guidelines</w:t>
            </w:r>
          </w:p>
        </w:tc>
      </w:tr>
      <w:tr w14:paraId="D4F2A1C8">
        <w:tblPrEx/>
        <w:trPr/>
        <w:tc>
          <w:tcPr>
            <w:tcW w:w="2200" w:type="dxa"/>
            <w:tcBorders/>
            <w:tcMar>
              <w:top w:w="60" w:type="dxa"/>
              <w:left w:w="80" w:type="dxa"/>
              <w:bottom w:w="60" w:type="dxa"/>
              <w:right w:w="80" w:type="dxa"/>
            </w:tcMar>
            <w:vAlign w:val="center"/>
          </w:tcPr>
          <w:p w14:paraId="40D61EF4">
            <w:pPr>
              <w:pStyle w:val="style0"/>
              <w:spacing w:after="40" w:lineRule="auto" w:line="240"/>
              <w:jc w:val="left"/>
              <w:rPr/>
            </w:pPr>
            <w:r>
              <w:rPr>
                <w:rFonts w:ascii="Times New Roman" w:cs="Times New Roman" w:eastAsia="Times New Roman" w:hAnsi="Times New Roman"/>
                <w:b w:val="false"/>
                <w:bCs w:val="false"/>
                <w:sz w:val="19"/>
                <w:szCs w:val="19"/>
              </w:rPr>
              <w:t>Low awareness</w:t>
            </w:r>
          </w:p>
        </w:tc>
        <w:tc>
          <w:tcPr>
            <w:tcW w:w="3300" w:type="dxa"/>
            <w:tcBorders/>
            <w:tcMar>
              <w:top w:w="60" w:type="dxa"/>
              <w:left w:w="80" w:type="dxa"/>
              <w:bottom w:w="60" w:type="dxa"/>
              <w:right w:w="80" w:type="dxa"/>
            </w:tcMar>
            <w:vAlign w:val="center"/>
          </w:tcPr>
          <w:p w14:paraId="358218C2">
            <w:pPr>
              <w:pStyle w:val="style0"/>
              <w:spacing w:after="40" w:lineRule="auto" w:line="240"/>
              <w:jc w:val="left"/>
              <w:rPr/>
            </w:pPr>
            <w:r>
              <w:rPr>
                <w:rFonts w:ascii="Times New Roman" w:cs="Times New Roman" w:eastAsia="Times New Roman" w:hAnsi="Times New Roman"/>
                <w:b w:val="false"/>
                <w:bCs w:val="false"/>
                <w:sz w:val="19"/>
                <w:szCs w:val="19"/>
              </w:rPr>
              <w:t>Energy waste treated as normal operating cost</w:t>
            </w:r>
          </w:p>
        </w:tc>
        <w:tc>
          <w:tcPr>
            <w:tcW w:w="3700" w:type="dxa"/>
            <w:tcBorders/>
            <w:tcMar>
              <w:top w:w="60" w:type="dxa"/>
              <w:left w:w="80" w:type="dxa"/>
              <w:bottom w:w="60" w:type="dxa"/>
              <w:right w:w="80" w:type="dxa"/>
            </w:tcMar>
            <w:vAlign w:val="center"/>
          </w:tcPr>
          <w:p w14:paraId="64125D4F">
            <w:pPr>
              <w:pStyle w:val="style0"/>
              <w:spacing w:after="40" w:lineRule="auto" w:line="240"/>
              <w:jc w:val="left"/>
              <w:rPr/>
            </w:pPr>
            <w:r>
              <w:rPr>
                <w:rFonts w:ascii="Times New Roman" w:cs="Times New Roman" w:eastAsia="Times New Roman" w:hAnsi="Times New Roman"/>
                <w:b w:val="false"/>
                <w:bCs w:val="false"/>
                <w:sz w:val="19"/>
                <w:szCs w:val="19"/>
              </w:rPr>
              <w:t>Energy benchmarking, awareness campaigns, hotel energy labels</w:t>
            </w:r>
          </w:p>
        </w:tc>
      </w:tr>
      <w:tr w14:paraId="82D8CFB5">
        <w:tblPrEx/>
        <w:trPr/>
        <w:tc>
          <w:tcPr>
            <w:tcW w:w="2200" w:type="dxa"/>
            <w:tcBorders/>
            <w:tcMar>
              <w:top w:w="60" w:type="dxa"/>
              <w:left w:w="80" w:type="dxa"/>
              <w:bottom w:w="60" w:type="dxa"/>
              <w:right w:w="80" w:type="dxa"/>
            </w:tcMar>
            <w:vAlign w:val="center"/>
          </w:tcPr>
          <w:p w14:paraId="6D73013D">
            <w:pPr>
              <w:pStyle w:val="style0"/>
              <w:spacing w:after="40" w:lineRule="auto" w:line="240"/>
              <w:jc w:val="left"/>
              <w:rPr/>
            </w:pPr>
            <w:r>
              <w:rPr>
                <w:rFonts w:ascii="Times New Roman" w:cs="Times New Roman" w:eastAsia="Times New Roman" w:hAnsi="Times New Roman"/>
                <w:b w:val="false"/>
                <w:bCs w:val="false"/>
                <w:sz w:val="19"/>
                <w:szCs w:val="19"/>
              </w:rPr>
              <w:t>Weak policy enforcement</w:t>
            </w:r>
          </w:p>
        </w:tc>
        <w:tc>
          <w:tcPr>
            <w:tcW w:w="3300" w:type="dxa"/>
            <w:tcBorders/>
            <w:tcMar>
              <w:top w:w="60" w:type="dxa"/>
              <w:left w:w="80" w:type="dxa"/>
              <w:bottom w:w="60" w:type="dxa"/>
              <w:right w:w="80" w:type="dxa"/>
            </w:tcMar>
            <w:vAlign w:val="center"/>
          </w:tcPr>
          <w:p w14:paraId="D519955F">
            <w:pPr>
              <w:pStyle w:val="style0"/>
              <w:spacing w:after="40" w:lineRule="auto" w:line="240"/>
              <w:jc w:val="left"/>
              <w:rPr/>
            </w:pPr>
            <w:r>
              <w:rPr>
                <w:rFonts w:ascii="Times New Roman" w:cs="Times New Roman" w:eastAsia="Times New Roman" w:hAnsi="Times New Roman"/>
                <w:b w:val="false"/>
                <w:bCs w:val="false"/>
                <w:sz w:val="19"/>
                <w:szCs w:val="19"/>
              </w:rPr>
              <w:t>Few consequences for inefficient building operation</w:t>
            </w:r>
          </w:p>
        </w:tc>
        <w:tc>
          <w:tcPr>
            <w:tcW w:w="3700" w:type="dxa"/>
            <w:tcBorders/>
            <w:tcMar>
              <w:top w:w="60" w:type="dxa"/>
              <w:left w:w="80" w:type="dxa"/>
              <w:bottom w:w="60" w:type="dxa"/>
              <w:right w:w="80" w:type="dxa"/>
            </w:tcMar>
            <w:vAlign w:val="center"/>
          </w:tcPr>
          <w:p w14:paraId="07183A49">
            <w:pPr>
              <w:pStyle w:val="style0"/>
              <w:spacing w:after="40" w:lineRule="auto" w:line="240"/>
              <w:jc w:val="left"/>
              <w:rPr/>
            </w:pPr>
            <w:r>
              <w:rPr>
                <w:rFonts w:ascii="Times New Roman" w:cs="Times New Roman" w:eastAsia="Times New Roman" w:hAnsi="Times New Roman"/>
                <w:b w:val="false"/>
                <w:bCs w:val="false"/>
                <w:sz w:val="19"/>
                <w:szCs w:val="19"/>
              </w:rPr>
              <w:t>Minimum energy performance standards and regular compliance checks</w:t>
            </w:r>
          </w:p>
        </w:tc>
      </w:tr>
      <w:tr w14:paraId="470D60FF">
        <w:tblPrEx/>
        <w:trPr/>
        <w:tc>
          <w:tcPr>
            <w:tcW w:w="2200" w:type="dxa"/>
            <w:tcBorders/>
            <w:tcMar>
              <w:top w:w="60" w:type="dxa"/>
              <w:left w:w="80" w:type="dxa"/>
              <w:bottom w:w="60" w:type="dxa"/>
              <w:right w:w="80" w:type="dxa"/>
            </w:tcMar>
            <w:vAlign w:val="center"/>
          </w:tcPr>
          <w:p w14:paraId="CA92C17F">
            <w:pPr>
              <w:pStyle w:val="style0"/>
              <w:spacing w:after="40" w:lineRule="auto" w:line="240"/>
              <w:jc w:val="left"/>
              <w:rPr/>
            </w:pPr>
            <w:r>
              <w:rPr>
                <w:rFonts w:ascii="Times New Roman" w:cs="Times New Roman" w:eastAsia="Times New Roman" w:hAnsi="Times New Roman"/>
                <w:b w:val="false"/>
                <w:bCs w:val="false"/>
                <w:sz w:val="19"/>
                <w:szCs w:val="19"/>
              </w:rPr>
              <w:t>Poor access to reliable data</w:t>
            </w:r>
          </w:p>
        </w:tc>
        <w:tc>
          <w:tcPr>
            <w:tcW w:w="3300" w:type="dxa"/>
            <w:tcBorders/>
            <w:tcMar>
              <w:top w:w="60" w:type="dxa"/>
              <w:left w:w="80" w:type="dxa"/>
              <w:bottom w:w="60" w:type="dxa"/>
              <w:right w:w="80" w:type="dxa"/>
            </w:tcMar>
            <w:vAlign w:val="center"/>
          </w:tcPr>
          <w:p w14:paraId="4CEFB867">
            <w:pPr>
              <w:pStyle w:val="style0"/>
              <w:spacing w:after="40" w:lineRule="auto" w:line="240"/>
              <w:jc w:val="left"/>
              <w:rPr/>
            </w:pPr>
            <w:r>
              <w:rPr>
                <w:rFonts w:ascii="Times New Roman" w:cs="Times New Roman" w:eastAsia="Times New Roman" w:hAnsi="Times New Roman"/>
                <w:b w:val="false"/>
                <w:bCs w:val="false"/>
                <w:sz w:val="19"/>
                <w:szCs w:val="19"/>
              </w:rPr>
              <w:t>Owners cannot identify where energy is being wasted</w:t>
            </w:r>
          </w:p>
        </w:tc>
        <w:tc>
          <w:tcPr>
            <w:tcW w:w="3700" w:type="dxa"/>
            <w:tcBorders/>
            <w:tcMar>
              <w:top w:w="60" w:type="dxa"/>
              <w:left w:w="80" w:type="dxa"/>
              <w:bottom w:w="60" w:type="dxa"/>
              <w:right w:w="80" w:type="dxa"/>
            </w:tcMar>
            <w:vAlign w:val="center"/>
          </w:tcPr>
          <w:p w14:paraId="409DAB6A">
            <w:pPr>
              <w:pStyle w:val="style0"/>
              <w:spacing w:after="40" w:lineRule="auto" w:line="240"/>
              <w:jc w:val="left"/>
              <w:rPr/>
            </w:pPr>
            <w:r>
              <w:rPr>
                <w:rFonts w:ascii="Times New Roman" w:cs="Times New Roman" w:eastAsia="Times New Roman" w:hAnsi="Times New Roman"/>
                <w:b w:val="false"/>
                <w:bCs w:val="false"/>
                <w:sz w:val="19"/>
                <w:szCs w:val="19"/>
              </w:rPr>
              <w:t>Smart meters, monthly energy reporting, equipment-level monitoring</w:t>
            </w:r>
          </w:p>
        </w:tc>
      </w:tr>
      <w:tr w14:paraId="F26B125A">
        <w:tblPrEx/>
        <w:trPr/>
        <w:tc>
          <w:tcPr>
            <w:tcW w:w="2200" w:type="dxa"/>
            <w:tcBorders/>
            <w:tcMar>
              <w:top w:w="60" w:type="dxa"/>
              <w:left w:w="80" w:type="dxa"/>
              <w:bottom w:w="60" w:type="dxa"/>
              <w:right w:w="80" w:type="dxa"/>
            </w:tcMar>
            <w:vAlign w:val="center"/>
          </w:tcPr>
          <w:p w14:paraId="A652F4BD">
            <w:pPr>
              <w:pStyle w:val="style0"/>
              <w:spacing w:after="40" w:lineRule="auto" w:line="240"/>
              <w:jc w:val="left"/>
              <w:rPr/>
            </w:pPr>
            <w:r>
              <w:rPr>
                <w:rFonts w:ascii="Times New Roman" w:cs="Times New Roman" w:eastAsia="Times New Roman" w:hAnsi="Times New Roman"/>
                <w:b w:val="false"/>
                <w:bCs w:val="false"/>
                <w:sz w:val="19"/>
                <w:szCs w:val="19"/>
              </w:rPr>
              <w:t>Maintenance culture</w:t>
            </w:r>
          </w:p>
        </w:tc>
        <w:tc>
          <w:tcPr>
            <w:tcW w:w="3300" w:type="dxa"/>
            <w:tcBorders/>
            <w:tcMar>
              <w:top w:w="60" w:type="dxa"/>
              <w:left w:w="80" w:type="dxa"/>
              <w:bottom w:w="60" w:type="dxa"/>
              <w:right w:w="80" w:type="dxa"/>
            </w:tcMar>
            <w:vAlign w:val="center"/>
          </w:tcPr>
          <w:p w14:paraId="492AB8AE">
            <w:pPr>
              <w:pStyle w:val="style0"/>
              <w:spacing w:after="40" w:lineRule="auto" w:line="240"/>
              <w:jc w:val="left"/>
              <w:rPr/>
            </w:pPr>
            <w:r>
              <w:rPr>
                <w:rFonts w:ascii="Times New Roman" w:cs="Times New Roman" w:eastAsia="Times New Roman" w:hAnsi="Times New Roman"/>
                <w:b w:val="false"/>
                <w:bCs w:val="false"/>
                <w:sz w:val="19"/>
                <w:szCs w:val="19"/>
              </w:rPr>
              <w:t>Retrofit systems fail when not properly maintained</w:t>
            </w:r>
          </w:p>
        </w:tc>
        <w:tc>
          <w:tcPr>
            <w:tcW w:w="3700" w:type="dxa"/>
            <w:tcBorders/>
            <w:tcMar>
              <w:top w:w="60" w:type="dxa"/>
              <w:left w:w="80" w:type="dxa"/>
              <w:bottom w:w="60" w:type="dxa"/>
              <w:right w:w="80" w:type="dxa"/>
            </w:tcMar>
            <w:vAlign w:val="center"/>
          </w:tcPr>
          <w:p w14:paraId="85F65BB9">
            <w:pPr>
              <w:pStyle w:val="style0"/>
              <w:spacing w:after="40" w:lineRule="auto" w:line="240"/>
              <w:jc w:val="left"/>
              <w:rPr/>
            </w:pPr>
            <w:r>
              <w:rPr>
                <w:rFonts w:ascii="Times New Roman" w:cs="Times New Roman" w:eastAsia="Times New Roman" w:hAnsi="Times New Roman"/>
                <w:b w:val="false"/>
                <w:bCs w:val="false"/>
                <w:sz w:val="19"/>
                <w:szCs w:val="19"/>
              </w:rPr>
              <w:t>Preventive maintenance schedules and service contracts</w:t>
            </w:r>
          </w:p>
        </w:tc>
      </w:tr>
    </w:tbl>
    <w:p w14:paraId="B10C60EA">
      <w:pPr>
        <w:pStyle w:val="style0"/>
        <w:spacing w:after="200"/>
        <w:rPr/>
      </w:pPr>
    </w:p>
    <w:p w14:paraId="3FF7C9FB">
      <w:pPr>
        <w:pStyle w:val="style0"/>
        <w:spacing w:before="180" w:after="100" w:lineRule="auto" w:line="480"/>
        <w:rPr/>
      </w:pPr>
      <w:r>
        <w:rPr>
          <w:rFonts w:ascii="Times New Roman" w:cs="Times New Roman" w:eastAsia="Times New Roman" w:hAnsi="Times New Roman"/>
          <w:b/>
          <w:bCs/>
          <w:i/>
          <w:iCs/>
          <w:sz w:val="24"/>
          <w:szCs w:val="24"/>
        </w:rPr>
        <w:t>Implementation Pathway</w:t>
      </w:r>
    </w:p>
    <w:p w14:paraId="7BF4EA34">
      <w:pPr>
        <w:pStyle w:val="style0"/>
        <w:spacing w:after="120" w:lineRule="auto" w:line="480"/>
        <w:jc w:val="both"/>
        <w:rPr/>
      </w:pPr>
      <w:r>
        <w:rPr>
          <w:rFonts w:ascii="Times New Roman" w:cs="Times New Roman" w:eastAsia="Times New Roman" w:hAnsi="Times New Roman"/>
          <w:sz w:val="24"/>
          <w:szCs w:val="24"/>
        </w:rPr>
        <w:t>A practical retrofit plan should begin with an energy audit and end with continuous monitoring. Hotels should avoid purchasing new technologies without first understanding where energy is being wasted. Figure 2 proposes a staged pathway suitable for Nigerian hotels, moving from audit through quick wins, system upgrades, renewable-energy integration and continuous monitoring.</w:t>
      </w:r>
    </w:p>
    <w:p w14:paraId="1214F4E2">
      <w:pPr>
        <w:pStyle w:val="style0"/>
        <w:spacing w:before="120" w:after="60"/>
        <w:jc w:val="center"/>
        <w:rPr/>
      </w:pPr>
      <w:r>
        <w:rPr/>
        <w:drawing>
          <wp:inline distL="0" distT="0" distB="0" distR="0">
            <wp:extent cx="3619500" cy="1647825"/>
            <wp:effectExtent l="0" t="0" r="0" b="0"/>
            <wp:docPr id="1027"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srcRect l="0" t="0" r="0" b="0"/>
                    <a:stretch/>
                  </pic:blipFill>
                  <pic:spPr>
                    <a:xfrm rot="0">
                      <a:off x="0" y="0"/>
                      <a:ext cx="3619500" cy="1647825"/>
                    </a:xfrm>
                    <a:prstGeom prst="rect"/>
                  </pic:spPr>
                </pic:pic>
              </a:graphicData>
            </a:graphic>
          </wp:inline>
        </w:drawing>
      </w:r>
    </w:p>
    <w:p w14:paraId="B7A817F5">
      <w:pPr>
        <w:pStyle w:val="style0"/>
        <w:spacing w:after="60" w:lineRule="auto" w:line="240"/>
        <w:jc w:val="center"/>
        <w:rPr/>
      </w:pPr>
      <w:r>
        <w:rPr>
          <w:rFonts w:ascii="Times New Roman" w:cs="Times New Roman" w:eastAsia="Times New Roman" w:hAnsi="Times New Roman"/>
          <w:i/>
          <w:iCs/>
          <w:sz w:val="20"/>
          <w:szCs w:val="20"/>
        </w:rPr>
        <w:t>Figure 2: Recommended staged retrofit pathway for Nigerian hotels. Source: Authors' synthesis, 2026.</w:t>
      </w:r>
    </w:p>
    <w:p w14:paraId="05923F67">
      <w:pPr>
        <w:pStyle w:val="style0"/>
        <w:keepNext/>
        <w:spacing w:before="240" w:after="120" w:lineRule="auto" w:line="480"/>
        <w:rPr/>
      </w:pPr>
      <w:r>
        <w:rPr>
          <w:rFonts w:ascii="Times New Roman" w:cs="Times New Roman" w:eastAsia="Times New Roman" w:hAnsi="Times New Roman"/>
          <w:b/>
          <w:bCs/>
          <w:color w:val="000000"/>
          <w:sz w:val="24"/>
          <w:szCs w:val="24"/>
        </w:rPr>
        <w:t>POLICY AND PROFESSIONAL IMPLICATIONS</w:t>
      </w:r>
    </w:p>
    <w:p w14:paraId="56950B81">
      <w:pPr>
        <w:pStyle w:val="style0"/>
        <w:spacing w:after="120" w:lineRule="auto" w:line="480"/>
        <w:jc w:val="both"/>
        <w:rPr/>
      </w:pPr>
      <w:r>
        <w:rPr>
          <w:rFonts w:ascii="Times New Roman" w:cs="Times New Roman" w:eastAsia="Times New Roman" w:hAnsi="Times New Roman"/>
          <w:sz w:val="24"/>
          <w:szCs w:val="24"/>
        </w:rPr>
        <w:t>The findings have implications for hotel owners, architects, engineers, quantity surveyors, facility managers and policymakers. Hotel owners should treat retrofitting as an investment in operating-cost reduction rather than an optional sustainability expense. Architects and engineers should promote passive cooling, efficient equipment selection and smart controls when upgrading existing hotels, while quantity surveyors have an important role in life-cycle</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cost analysis, payback assessment and value-for-money evaluation of retrofit options. Facility managers should maintain energy records, track monthly consumption and ensure installed systems continue to perform as intended.</w:t>
      </w:r>
    </w:p>
    <w:p w14:paraId="D665B143">
      <w:pPr>
        <w:pStyle w:val="style0"/>
        <w:spacing w:after="60" w:lineRule="auto" w:line="480"/>
        <w:jc w:val="both"/>
        <w:rPr/>
      </w:pPr>
      <w:r>
        <w:rPr>
          <w:rFonts w:ascii="Times New Roman" w:cs="Times New Roman" w:eastAsia="Times New Roman" w:hAnsi="Times New Roman"/>
          <w:sz w:val="24"/>
          <w:szCs w:val="24"/>
        </w:rPr>
        <w:t>At policy level, government and professional bodies should strengthen energy</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efficiency guidelines for commercial buildings, encourage green financing and support local training in building energy auditing. Energy performance contracting can also be useful because it allows retrofit investment to be repaid through verified energy savings, a model particularly relevant for hotels that need efficiency upgrades but cannot immediately fund large capital projects.</w:t>
      </w:r>
    </w:p>
    <w:p w14:paraId="00E21954">
      <w:pPr>
        <w:pStyle w:val="style0"/>
        <w:keepNext/>
        <w:spacing w:before="240" w:after="120" w:lineRule="auto" w:line="480"/>
        <w:rPr/>
      </w:pPr>
      <w:r>
        <w:rPr>
          <w:rFonts w:ascii="Times New Roman" w:cs="Times New Roman" w:eastAsia="Times New Roman" w:hAnsi="Times New Roman"/>
          <w:b/>
          <w:bCs/>
          <w:color w:val="000000"/>
          <w:sz w:val="24"/>
          <w:szCs w:val="24"/>
        </w:rPr>
        <w:t>CONCLUSION</w:t>
      </w:r>
    </w:p>
    <w:p w14:paraId="3632D78E">
      <w:pPr>
        <w:pStyle w:val="style0"/>
        <w:spacing w:after="120" w:lineRule="auto" w:line="480"/>
        <w:jc w:val="both"/>
        <w:rPr/>
      </w:pPr>
      <w:r>
        <w:rPr>
          <w:rFonts w:ascii="Times New Roman" w:cs="Times New Roman" w:eastAsia="Times New Roman" w:hAnsi="Times New Roman"/>
          <w:sz w:val="24"/>
          <w:szCs w:val="24"/>
        </w:rPr>
        <w:t>This paper examined retrofitting as a pathway for reducing energy consumption in Nigeria's hospitality industry. The review shows that Nigerian hotels face serious energy challenges arising from high cooling demand, inefficient systems, unreliable grid electricity and generator dependence. Retrofitting provides a practical route for addressing these challenges because it improves existing buildings through staged and measurable interventions. LED lighting, occupancy controls, HVAC optimisation, building</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envelope improvement, smart energy management and solar PV integration can collectively reduce hotel energy demand and operating costs when properly planned and maintained.</w:t>
      </w:r>
    </w:p>
    <w:p w14:paraId="71A45851">
      <w:pPr>
        <w:pStyle w:val="style0"/>
        <w:spacing w:after="60" w:lineRule="auto" w:line="480"/>
        <w:jc w:val="both"/>
        <w:rPr/>
      </w:pPr>
      <w:r>
        <w:rPr>
          <w:rFonts w:ascii="Times New Roman" w:cs="Times New Roman" w:eastAsia="Times New Roman" w:hAnsi="Times New Roman"/>
          <w:sz w:val="24"/>
          <w:szCs w:val="24"/>
        </w:rPr>
        <w:t>The study also established that the major gap is not the absence of retrofit technologies but the lack of structured, financeable and context</w:t>
      </w:r>
      <w:r>
        <w:rPr>
          <w:rFonts w:ascii="Times New Roman" w:cs="Times New Roman" w:eastAsia="Times New Roman" w:hAnsi="Times New Roman"/>
          <w:sz w:val="24"/>
          <w:szCs w:val="24"/>
          <w:lang w:val="en-US"/>
        </w:rPr>
        <w:t xml:space="preserve"> s</w:t>
      </w:r>
      <w:r>
        <w:rPr>
          <w:rFonts w:ascii="Times New Roman" w:cs="Times New Roman" w:eastAsia="Times New Roman" w:hAnsi="Times New Roman"/>
          <w:sz w:val="24"/>
          <w:szCs w:val="24"/>
        </w:rPr>
        <w:t>pecific implementation pathways for Nigerian hotels. For retrofitting to succeed, hotel owners need reliable audits, phased investment plans, trained facility managers, clear policy support and financing models that recognise long-term savings. Future studies should conduct field-based</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energy audits across different hotel categories in Nigeria to validate the indicative savings presented in this paper.</w:t>
      </w:r>
    </w:p>
    <w:p w14:paraId="32B04D4C">
      <w:pPr>
        <w:pStyle w:val="style0"/>
        <w:keepNext/>
        <w:spacing w:before="240" w:after="120" w:lineRule="auto" w:line="480"/>
        <w:rPr/>
      </w:pPr>
      <w:r>
        <w:rPr>
          <w:rFonts w:ascii="Times New Roman" w:cs="Times New Roman" w:eastAsia="Times New Roman" w:hAnsi="Times New Roman"/>
          <w:b/>
          <w:bCs/>
          <w:color w:val="000000"/>
          <w:sz w:val="24"/>
          <w:szCs w:val="24"/>
        </w:rPr>
        <w:t>RECOMMENDATIONS</w:t>
      </w:r>
    </w:p>
    <w:p w14:paraId="8EB806D5">
      <w:pPr>
        <w:pStyle w:val="style0"/>
        <w:spacing w:after="80" w:lineRule="auto" w:line="480"/>
        <w:ind w:left="576" w:hanging="360"/>
        <w:rPr/>
      </w:pPr>
      <w:r>
        <w:rPr>
          <w:rFonts w:ascii="Times New Roman" w:cs="Times New Roman" w:eastAsia="Times New Roman" w:hAnsi="Times New Roman"/>
          <w:b/>
          <w:bCs/>
          <w:sz w:val="24"/>
          <w:szCs w:val="24"/>
        </w:rPr>
        <w:t xml:space="preserve">1. </w:t>
      </w:r>
      <w:r>
        <w:rPr>
          <w:rFonts w:ascii="Times New Roman" w:cs="Times New Roman" w:eastAsia="Times New Roman" w:hAnsi="Times New Roman"/>
          <w:sz w:val="24"/>
          <w:szCs w:val="24"/>
        </w:rPr>
        <w:t>Medium and large hotels should conduct periodic energy audits to identify major sources of wastage before investing in retrofit technologies.</w:t>
      </w:r>
    </w:p>
    <w:p w14:paraId="3BA5D44C">
      <w:pPr>
        <w:pStyle w:val="style0"/>
        <w:spacing w:after="80" w:lineRule="auto" w:line="480"/>
        <w:ind w:left="576" w:hanging="360"/>
        <w:rPr/>
      </w:pPr>
      <w:r>
        <w:rPr>
          <w:rFonts w:ascii="Times New Roman" w:cs="Times New Roman" w:eastAsia="Times New Roman" w:hAnsi="Times New Roman"/>
          <w:b/>
          <w:bCs/>
          <w:sz w:val="24"/>
          <w:szCs w:val="24"/>
        </w:rPr>
        <w:t xml:space="preserve">2. </w:t>
      </w:r>
      <w:r>
        <w:rPr>
          <w:rFonts w:ascii="Times New Roman" w:cs="Times New Roman" w:eastAsia="Times New Roman" w:hAnsi="Times New Roman"/>
          <w:sz w:val="24"/>
          <w:szCs w:val="24"/>
        </w:rPr>
        <w:t>Hotel owners should adopt phased retrofit plans, beginning with LED lighting, maintenance improvement, smart metering and occupancy controls before moving to capital</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intensive systems.</w:t>
      </w:r>
    </w:p>
    <w:p w14:paraId="961F5FC0">
      <w:pPr>
        <w:pStyle w:val="style0"/>
        <w:spacing w:after="80" w:lineRule="auto" w:line="480"/>
        <w:ind w:left="576" w:hanging="360"/>
        <w:rPr/>
      </w:pPr>
      <w:r>
        <w:rPr>
          <w:rFonts w:ascii="Times New Roman" w:cs="Times New Roman" w:eastAsia="Times New Roman" w:hAnsi="Times New Roman"/>
          <w:b/>
          <w:bCs/>
          <w:sz w:val="24"/>
          <w:szCs w:val="24"/>
        </w:rPr>
        <w:t xml:space="preserve">3. </w:t>
      </w:r>
      <w:r>
        <w:rPr>
          <w:rFonts w:ascii="Times New Roman" w:cs="Times New Roman" w:eastAsia="Times New Roman" w:hAnsi="Times New Roman"/>
          <w:sz w:val="24"/>
          <w:szCs w:val="24"/>
        </w:rPr>
        <w:t>Government should introduce tax incentives, import-duty relief and green-loan schemes for certified energy-efficient equipment used in commercial buildings.</w:t>
      </w:r>
    </w:p>
    <w:p w14:paraId="96F2AD8A">
      <w:pPr>
        <w:pStyle w:val="style0"/>
        <w:spacing w:after="80" w:lineRule="auto" w:line="480"/>
        <w:ind w:left="576" w:hanging="360"/>
        <w:rPr/>
      </w:pPr>
      <w:r>
        <w:rPr>
          <w:rFonts w:ascii="Times New Roman" w:cs="Times New Roman" w:eastAsia="Times New Roman" w:hAnsi="Times New Roman"/>
          <w:b/>
          <w:bCs/>
          <w:sz w:val="24"/>
          <w:szCs w:val="24"/>
        </w:rPr>
        <w:t xml:space="preserve">4. </w:t>
      </w:r>
      <w:r>
        <w:rPr>
          <w:rFonts w:ascii="Times New Roman" w:cs="Times New Roman" w:eastAsia="Times New Roman" w:hAnsi="Times New Roman"/>
          <w:sz w:val="24"/>
          <w:szCs w:val="24"/>
        </w:rPr>
        <w:t>Professional bodies should train architects, engineers, quantity surveyors and facility managers on hotel energy audits, retrofit costing and performance verification.</w:t>
      </w:r>
    </w:p>
    <w:p w14:paraId="3948E772">
      <w:pPr>
        <w:pStyle w:val="style0"/>
        <w:spacing w:after="80" w:lineRule="auto" w:line="480"/>
        <w:ind w:left="576" w:hanging="360"/>
        <w:rPr/>
      </w:pPr>
      <w:r>
        <w:rPr>
          <w:rFonts w:ascii="Times New Roman" w:cs="Times New Roman" w:eastAsia="Times New Roman" w:hAnsi="Times New Roman"/>
          <w:b/>
          <w:bCs/>
          <w:sz w:val="24"/>
          <w:szCs w:val="24"/>
        </w:rPr>
        <w:t xml:space="preserve">5. </w:t>
      </w:r>
      <w:r>
        <w:rPr>
          <w:rFonts w:ascii="Times New Roman" w:cs="Times New Roman" w:eastAsia="Times New Roman" w:hAnsi="Times New Roman"/>
          <w:sz w:val="24"/>
          <w:szCs w:val="24"/>
        </w:rPr>
        <w:t>Energy performance contracting should be encouraged so that retrofit projects can be financed through future energy savings.</w:t>
      </w:r>
    </w:p>
    <w:p w14:paraId="D95E8106">
      <w:pPr>
        <w:pStyle w:val="style0"/>
        <w:spacing w:after="80" w:lineRule="auto" w:line="480"/>
        <w:ind w:left="576" w:hanging="360"/>
        <w:rPr/>
      </w:pPr>
      <w:r>
        <w:rPr>
          <w:rFonts w:ascii="Times New Roman" w:cs="Times New Roman" w:eastAsia="Times New Roman" w:hAnsi="Times New Roman"/>
          <w:b/>
          <w:bCs/>
          <w:sz w:val="24"/>
          <w:szCs w:val="24"/>
        </w:rPr>
        <w:t xml:space="preserve">6. </w:t>
      </w:r>
      <w:r>
        <w:rPr>
          <w:rFonts w:ascii="Times New Roman" w:cs="Times New Roman" w:eastAsia="Times New Roman" w:hAnsi="Times New Roman"/>
          <w:sz w:val="24"/>
          <w:szCs w:val="24"/>
        </w:rPr>
        <w:t>Future research should use measured electricity and fuel-consumption data from Nigerian hotels to develop local energy benchmarks.</w:t>
      </w:r>
    </w:p>
    <w:p w14:paraId="A75F8560">
      <w:pPr>
        <w:pStyle w:val="style0"/>
        <w:keepNext/>
        <w:spacing w:before="240" w:after="120" w:lineRule="auto" w:line="480"/>
        <w:rPr/>
      </w:pPr>
      <w:r>
        <w:rPr>
          <w:rFonts w:ascii="Times New Roman" w:cs="Times New Roman" w:eastAsia="Times New Roman" w:hAnsi="Times New Roman"/>
          <w:b/>
          <w:bCs/>
          <w:color w:val="000000"/>
          <w:sz w:val="24"/>
          <w:szCs w:val="24"/>
        </w:rPr>
        <w:t>REFERENCES</w:t>
      </w:r>
    </w:p>
    <w:p w14:paraId="22BFC53D">
      <w:pPr>
        <w:pStyle w:val="style0"/>
        <w:spacing w:after="100" w:lineRule="auto" w:line="240"/>
        <w:ind w:left="720" w:hanging="720"/>
        <w:jc w:val="both"/>
        <w:rPr/>
      </w:pPr>
      <w:r>
        <w:rPr>
          <w:rFonts w:ascii="Times New Roman" w:cs="Times New Roman" w:eastAsia="Times New Roman" w:hAnsi="Times New Roman"/>
          <w:sz w:val="22"/>
          <w:szCs w:val="22"/>
        </w:rPr>
        <w:t>Adekunle, T. O., Nikolopoulou, M., &amp; Amole, D. (2015). Thermal comfort adaptation in office buildings in Nigeria. Energy and Buildings, 85, 20-28.</w:t>
      </w:r>
    </w:p>
    <w:p w14:paraId="E0BF7B57">
      <w:pPr>
        <w:pStyle w:val="style0"/>
        <w:spacing w:after="100" w:lineRule="auto" w:line="240"/>
        <w:ind w:left="720" w:hanging="720"/>
        <w:jc w:val="both"/>
        <w:rPr/>
      </w:pPr>
      <w:r>
        <w:rPr>
          <w:rFonts w:ascii="Times New Roman" w:cs="Times New Roman" w:eastAsia="Times New Roman" w:hAnsi="Times New Roman"/>
          <w:sz w:val="22"/>
          <w:szCs w:val="22"/>
        </w:rPr>
        <w:t>Agharid, A. P., et al. (2024). Energy-efficient and cost-effective approaches through building retrofit scenarios for hotel buildings. Journal of Asian Architecture and Building Engineering, 24(1), 1-17.</w:t>
      </w:r>
    </w:p>
    <w:p w14:paraId="99BD81FA">
      <w:pPr>
        <w:pStyle w:val="style0"/>
        <w:spacing w:after="100" w:lineRule="auto" w:line="240"/>
        <w:ind w:left="720" w:hanging="720"/>
        <w:jc w:val="both"/>
        <w:rPr/>
      </w:pPr>
      <w:r>
        <w:rPr>
          <w:rFonts w:ascii="Times New Roman" w:cs="Times New Roman" w:eastAsia="Times New Roman" w:hAnsi="Times New Roman"/>
          <w:sz w:val="22"/>
          <w:szCs w:val="22"/>
        </w:rPr>
        <w:t>González, A. G., García-Sanz-Calcedo, J., Salgado, D. R., &amp; Cambero, I. (2018). Evaluation of energy consumption in hotels and proposals for improvement. Energy and Buildings, 169, 403-412.</w:t>
      </w:r>
    </w:p>
    <w:p w14:paraId="3AF2AD53">
      <w:pPr>
        <w:pStyle w:val="style0"/>
        <w:spacing w:after="100" w:lineRule="auto" w:line="240"/>
        <w:ind w:left="720" w:hanging="720"/>
        <w:jc w:val="both"/>
        <w:rPr/>
      </w:pPr>
      <w:r>
        <w:rPr>
          <w:rFonts w:ascii="Times New Roman" w:cs="Times New Roman" w:eastAsia="Times New Roman" w:hAnsi="Times New Roman"/>
          <w:sz w:val="22"/>
          <w:szCs w:val="22"/>
        </w:rPr>
        <w:t>International Energy Agency. (2024). Energy Efficiency 2024. IEA, Paris.</w:t>
      </w:r>
    </w:p>
    <w:p w14:paraId="23C3003B">
      <w:pPr>
        <w:pStyle w:val="style0"/>
        <w:spacing w:after="100" w:lineRule="auto" w:line="240"/>
        <w:ind w:left="720" w:hanging="720"/>
        <w:jc w:val="both"/>
        <w:rPr/>
      </w:pPr>
      <w:r>
        <w:rPr>
          <w:rFonts w:ascii="Times New Roman" w:cs="Times New Roman" w:eastAsia="Times New Roman" w:hAnsi="Times New Roman"/>
          <w:sz w:val="22"/>
          <w:szCs w:val="22"/>
        </w:rPr>
        <w:t>Ma, Z., Cooper, P., Daly, D., &amp; Ledo, L. (2012). Existing building retrofits: Methodology and state-of-the-art. Energy and Buildings, 55, 889-902.</w:t>
      </w:r>
    </w:p>
    <w:p w14:paraId="3C631872">
      <w:pPr>
        <w:pStyle w:val="style0"/>
        <w:spacing w:after="100" w:lineRule="auto" w:line="240"/>
        <w:ind w:left="720" w:hanging="720"/>
        <w:jc w:val="both"/>
        <w:rPr/>
      </w:pPr>
      <w:r>
        <w:rPr>
          <w:rFonts w:ascii="Times New Roman" w:cs="Times New Roman" w:eastAsia="Times New Roman" w:hAnsi="Times New Roman"/>
          <w:sz w:val="22"/>
          <w:szCs w:val="22"/>
        </w:rPr>
        <w:t>National Bureau of Statistics. (2024). Nigeria Electricity Report Q1 2024: Energy billed, revenue generated and customers by DISCO. NBS, Abuja.</w:t>
      </w:r>
    </w:p>
    <w:p w14:paraId="49824FD6">
      <w:pPr>
        <w:pStyle w:val="style0"/>
        <w:spacing w:after="100" w:lineRule="auto" w:line="240"/>
        <w:ind w:left="720" w:hanging="720"/>
        <w:jc w:val="both"/>
        <w:rPr/>
      </w:pPr>
      <w:r>
        <w:rPr>
          <w:rFonts w:ascii="Times New Roman" w:cs="Times New Roman" w:eastAsia="Times New Roman" w:hAnsi="Times New Roman"/>
          <w:sz w:val="22"/>
          <w:szCs w:val="22"/>
        </w:rPr>
        <w:t>Nigerian Electricity Regulatory Commission. (2024). Fourth Quarter 2023 Quarterly Report. NERC, Abuja.</w:t>
      </w:r>
    </w:p>
    <w:p w14:paraId="0A21A2F2">
      <w:pPr>
        <w:pStyle w:val="style0"/>
        <w:spacing w:after="100" w:lineRule="auto" w:line="240"/>
        <w:ind w:left="720" w:hanging="720"/>
        <w:jc w:val="both"/>
        <w:rPr/>
      </w:pPr>
      <w:r>
        <w:rPr>
          <w:rFonts w:ascii="Times New Roman" w:cs="Times New Roman" w:eastAsia="Times New Roman" w:hAnsi="Times New Roman"/>
          <w:sz w:val="22"/>
          <w:szCs w:val="22"/>
        </w:rPr>
        <w:t>Ogunjuyigbe, A. S., Ayodele, T. R., &amp; Ogunmuyiwa, S. M. (2020). Retrofitting existing buildings to reduce electrical energy consumption and greenhouse gas emission in Nigerian food and beverage industries. Journal of Electrical Systems and Information Technology, 7(9), 1-15.</w:t>
      </w:r>
    </w:p>
    <w:p w14:paraId="536ED77F">
      <w:pPr>
        <w:pStyle w:val="style0"/>
        <w:spacing w:after="100" w:lineRule="auto" w:line="240"/>
        <w:ind w:left="720" w:hanging="720"/>
        <w:jc w:val="both"/>
        <w:rPr/>
      </w:pPr>
      <w:r>
        <w:rPr>
          <w:rFonts w:ascii="Times New Roman" w:cs="Times New Roman" w:eastAsia="Times New Roman" w:hAnsi="Times New Roman"/>
          <w:sz w:val="22"/>
          <w:szCs w:val="22"/>
        </w:rPr>
        <w:t>Oluseyi, P. O., Babatunde, O. M., &amp; Babatunde, O. A. (2016). Assessment of energy consumption and carbon footprint from the hotel sector within Lagos, Nigeria. Energy and Buildings, 118, 106-113.</w:t>
      </w:r>
    </w:p>
    <w:p w14:paraId="7EDA9050">
      <w:pPr>
        <w:pStyle w:val="style0"/>
        <w:spacing w:after="100" w:lineRule="auto" w:line="240"/>
        <w:ind w:left="720" w:hanging="720"/>
        <w:jc w:val="both"/>
        <w:rPr/>
      </w:pPr>
      <w:r>
        <w:rPr>
          <w:rFonts w:ascii="Times New Roman" w:cs="Times New Roman" w:eastAsia="Times New Roman" w:hAnsi="Times New Roman"/>
          <w:sz w:val="22"/>
          <w:szCs w:val="22"/>
        </w:rPr>
        <w:t>Pérez-Lombard, L., Ortiz, J., &amp; Pout, C. (2008). A review on buildings energy consumption information. Energy and Buildings, 40(3), 394-398.</w:t>
      </w:r>
    </w:p>
    <w:p w14:paraId="01FDFAE5">
      <w:pPr>
        <w:pStyle w:val="style0"/>
        <w:spacing w:after="100" w:lineRule="auto" w:line="240"/>
        <w:ind w:left="720" w:hanging="720"/>
        <w:jc w:val="both"/>
        <w:rPr/>
      </w:pPr>
      <w:r>
        <w:rPr>
          <w:rFonts w:ascii="Times New Roman" w:cs="Times New Roman" w:eastAsia="Times New Roman" w:hAnsi="Times New Roman"/>
          <w:sz w:val="22"/>
          <w:szCs w:val="22"/>
        </w:rPr>
        <w:t>United Nations Environment Programme &amp; Global Alliance for Buildings and Construction. (2024). Global Status Report for Buildings and Construction 2024/2025. UNEP, Nairobi.</w:t>
      </w:r>
    </w:p>
    <w:p w14:paraId="D13BC947">
      <w:pPr>
        <w:pStyle w:val="style0"/>
        <w:spacing w:after="100" w:lineRule="auto" w:line="240"/>
        <w:ind w:left="720" w:hanging="720"/>
        <w:jc w:val="both"/>
        <w:rPr/>
      </w:pPr>
      <w:r>
        <w:rPr>
          <w:rFonts w:ascii="Times New Roman" w:cs="Times New Roman" w:eastAsia="Times New Roman" w:hAnsi="Times New Roman"/>
          <w:sz w:val="22"/>
          <w:szCs w:val="22"/>
        </w:rPr>
        <w:t>World Bank. (2020). Nigeria Power Sector Recovery Program. World Bank, Washington, DC.</w:t>
      </w:r>
    </w:p>
    <w:p w14:paraId="C396D6B2">
      <w:pPr>
        <w:pStyle w:val="style0"/>
        <w:spacing w:after="100" w:lineRule="auto" w:line="240"/>
        <w:ind w:left="720" w:hanging="720"/>
        <w:jc w:val="both"/>
        <w:rPr/>
      </w:pPr>
      <w:r>
        <w:rPr>
          <w:rFonts w:ascii="Times New Roman" w:cs="Times New Roman" w:eastAsia="Times New Roman" w:hAnsi="Times New Roman"/>
          <w:sz w:val="22"/>
          <w:szCs w:val="22"/>
        </w:rPr>
        <w:t>Zhiri, G. H., &amp; Bawa, J. A. (2024). Investigation of the energy use pattern in hotel buildings in tropical savannah climate: A case study of Minna. International Journal of Advanced Natural Sciences and Engineering Researches, 8(10), 121-128.</w:t>
      </w:r>
    </w:p>
    <w:sectPr>
      <w:headerReference w:type="default" r:id="rId4"/>
      <w:footerReference w:type="default" r:id="rId5"/>
      <w:pgSz w:w="11900" w:h="16840" w:orient="portrait"/>
      <w:pgMar w:top="1254" w:right="1138" w:bottom="1319" w:left="1647"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7a"/>
    <w:family w:val="auto"/>
    <w:pitch w:val="default"/>
    <w:sig w:usb0="00000003" w:usb1="080E0000" w:usb2="00000000" w:usb3="00000000" w:csb0="0004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93323E6">
    <w:pPr>
      <w:pStyle w:val="style0"/>
      <w:jc w:val="center"/>
      <w:rPr/>
    </w:pP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PAGE</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BA99E066">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1"/>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1fdd07e5-fd74-409e-89cf-d8294d49630b"/>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9" Type="http://schemas.openxmlformats.org/officeDocument/2006/relationships/theme" Target="theme/theme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42</TotalTime>
  <Words>2681</Words>
  <Characters>17748</Characters>
  <Application>WPS Office</Application>
  <Paragraphs>239</Paragraphs>
  <CharactersWithSpaces>20245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2026-09-26T19:27:00Z</dcterms:created>
  <dc:creator>Un-named</dc:creator>
  <lastModifiedBy>SM-A075F</lastModifiedBy>
  <dcterms:modified xsi:type="dcterms:W3CDTF">2026-09-26T21:58:43Z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e569569356bd492f8e5f2d98346bf053</vt:lpwstr>
  </property>
</Properties>
</file>